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267"/>
        <w:gridCol w:w="5853"/>
        <w:gridCol w:w="1089"/>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513F5639" w:rsidR="00FC1D77" w:rsidRPr="00C677CD" w:rsidRDefault="00FC1D77" w:rsidP="00352363">
            <w:pPr>
              <w:pStyle w:val="Header"/>
              <w:rPr>
                <w:b/>
              </w:rPr>
            </w:pPr>
            <w:r w:rsidRPr="00C677CD">
              <w:rPr>
                <w:b/>
                <w:sz w:val="72"/>
              </w:rPr>
              <w:t xml:space="preserve">MINUTES </w:t>
            </w:r>
            <w:r w:rsidR="00A0273F">
              <w:rPr>
                <w:b/>
                <w:i/>
                <w:sz w:val="28"/>
              </w:rPr>
              <w:t>M</w:t>
            </w:r>
            <w:r w:rsidR="00BB4882">
              <w:rPr>
                <w:b/>
                <w:i/>
                <w:sz w:val="28"/>
              </w:rPr>
              <w:t xml:space="preserve">eeting date: Monday </w:t>
            </w:r>
            <w:r w:rsidR="00EB7827">
              <w:rPr>
                <w:b/>
                <w:i/>
                <w:sz w:val="28"/>
              </w:rPr>
              <w:t>28 January 2019</w:t>
            </w:r>
          </w:p>
          <w:p w14:paraId="713E3E99" w14:textId="77777777" w:rsidR="00FC1D77" w:rsidRPr="00C677CD" w:rsidRDefault="00FC1D77" w:rsidP="00352363">
            <w:pPr>
              <w:spacing w:after="0" w:line="240" w:lineRule="auto"/>
            </w:pPr>
          </w:p>
        </w:tc>
      </w:tr>
      <w:tr w:rsidR="00FC1D77" w:rsidRPr="008131F4" w14:paraId="379C892E" w14:textId="77777777" w:rsidTr="00086C19">
        <w:trPr>
          <w:gridAfter w:val="1"/>
          <w:wAfter w:w="289" w:type="dxa"/>
        </w:trPr>
        <w:tc>
          <w:tcPr>
            <w:tcW w:w="3078" w:type="dxa"/>
            <w:gridSpan w:val="2"/>
            <w:shd w:val="clear" w:color="auto" w:fill="auto"/>
          </w:tcPr>
          <w:p w14:paraId="6989B487" w14:textId="77777777" w:rsidR="00FC1D77" w:rsidRPr="008131F4" w:rsidRDefault="00FC1D77" w:rsidP="00352363">
            <w:pPr>
              <w:spacing w:after="0" w:line="240" w:lineRule="auto"/>
              <w:rPr>
                <w:b/>
                <w:i/>
                <w:sz w:val="24"/>
                <w:szCs w:val="24"/>
              </w:rPr>
            </w:pPr>
            <w:r w:rsidRPr="008131F4">
              <w:rPr>
                <w:b/>
                <w:i/>
                <w:sz w:val="24"/>
                <w:szCs w:val="24"/>
              </w:rPr>
              <w:t>IN ATTENDANCE</w:t>
            </w:r>
          </w:p>
        </w:tc>
        <w:tc>
          <w:tcPr>
            <w:tcW w:w="6942" w:type="dxa"/>
            <w:gridSpan w:val="2"/>
            <w:shd w:val="clear" w:color="auto" w:fill="auto"/>
          </w:tcPr>
          <w:p w14:paraId="62DF9D25" w14:textId="77777777" w:rsidR="00FC1D77" w:rsidRPr="008131F4" w:rsidRDefault="00FC1D77" w:rsidP="00352363">
            <w:pPr>
              <w:spacing w:after="0" w:line="240" w:lineRule="auto"/>
              <w:rPr>
                <w:b/>
                <w:i/>
                <w:sz w:val="24"/>
                <w:szCs w:val="24"/>
              </w:rPr>
            </w:pPr>
          </w:p>
        </w:tc>
      </w:tr>
      <w:tr w:rsidR="00FC1D77" w:rsidRPr="00C677CD" w14:paraId="0C106AF7" w14:textId="77777777" w:rsidTr="00086C19">
        <w:trPr>
          <w:trHeight w:val="1257"/>
        </w:trPr>
        <w:tc>
          <w:tcPr>
            <w:tcW w:w="3078" w:type="dxa"/>
            <w:gridSpan w:val="2"/>
            <w:tcBorders>
              <w:bottom w:val="single" w:sz="4" w:space="0" w:color="auto"/>
            </w:tcBorders>
            <w:shd w:val="clear" w:color="auto" w:fill="auto"/>
          </w:tcPr>
          <w:p w14:paraId="0B478367" w14:textId="2DF421DB" w:rsidR="00200F26" w:rsidRPr="008131F4" w:rsidRDefault="00200F26" w:rsidP="00352363">
            <w:pPr>
              <w:pStyle w:val="NoSpacing"/>
              <w:numPr>
                <w:ilvl w:val="0"/>
                <w:numId w:val="5"/>
              </w:numPr>
              <w:ind w:left="279" w:hanging="284"/>
            </w:pPr>
            <w:r w:rsidRPr="008131F4">
              <w:t>Kevin Dunion</w:t>
            </w:r>
            <w:r w:rsidR="004D44D9" w:rsidRPr="008131F4">
              <w:t xml:space="preserve"> (C</w:t>
            </w:r>
            <w:r w:rsidR="00375FEE" w:rsidRPr="008131F4">
              <w:t>onvener)</w:t>
            </w:r>
          </w:p>
          <w:p w14:paraId="432DD9D8" w14:textId="3468BCC5" w:rsidR="008131F4" w:rsidRDefault="008131F4" w:rsidP="00352363">
            <w:pPr>
              <w:pStyle w:val="NoSpacing"/>
              <w:numPr>
                <w:ilvl w:val="0"/>
                <w:numId w:val="5"/>
              </w:numPr>
              <w:ind w:left="279" w:hanging="284"/>
            </w:pPr>
            <w:r w:rsidRPr="008131F4">
              <w:t>Lindsey Gallanders</w:t>
            </w:r>
          </w:p>
          <w:p w14:paraId="311E9AFF" w14:textId="651998EA" w:rsidR="0081552A" w:rsidRPr="008131F4" w:rsidRDefault="0081552A" w:rsidP="00352363">
            <w:pPr>
              <w:pStyle w:val="NoSpacing"/>
              <w:numPr>
                <w:ilvl w:val="0"/>
                <w:numId w:val="5"/>
              </w:numPr>
              <w:ind w:left="279" w:hanging="284"/>
            </w:pPr>
            <w:r>
              <w:t>Michael McCormick</w:t>
            </w:r>
          </w:p>
          <w:p w14:paraId="7F5B23D7" w14:textId="77777777" w:rsidR="00187E8C" w:rsidRPr="008131F4" w:rsidRDefault="00187E8C" w:rsidP="00187E8C">
            <w:pPr>
              <w:pStyle w:val="ListParagraph"/>
              <w:numPr>
                <w:ilvl w:val="0"/>
                <w:numId w:val="5"/>
              </w:numPr>
              <w:ind w:left="284" w:hanging="284"/>
              <w:rPr>
                <w:rFonts w:cs="Calibri"/>
              </w:rPr>
            </w:pPr>
            <w:r w:rsidRPr="008131F4">
              <w:rPr>
                <w:rFonts w:cs="Calibri"/>
              </w:rPr>
              <w:t>Tricia Stewart</w:t>
            </w:r>
          </w:p>
          <w:p w14:paraId="2F806794" w14:textId="6C127826" w:rsidR="008131F4" w:rsidRPr="008131F4" w:rsidRDefault="008131F4" w:rsidP="00187E8C">
            <w:pPr>
              <w:pStyle w:val="ListParagraph"/>
              <w:numPr>
                <w:ilvl w:val="0"/>
                <w:numId w:val="5"/>
              </w:numPr>
              <w:ind w:left="284" w:hanging="284"/>
              <w:rPr>
                <w:rFonts w:cs="Calibri"/>
              </w:rPr>
            </w:pPr>
            <w:r w:rsidRPr="008131F4">
              <w:rPr>
                <w:rFonts w:cs="Calibri"/>
              </w:rPr>
              <w:t>Paul Walker</w:t>
            </w:r>
          </w:p>
          <w:p w14:paraId="6FF754F2" w14:textId="146F6ED2" w:rsidR="00187E8C" w:rsidRPr="008131F4" w:rsidRDefault="00187E8C" w:rsidP="00187E8C">
            <w:pPr>
              <w:pStyle w:val="NoSpacing"/>
              <w:ind w:left="279"/>
              <w:rPr>
                <w:rFonts w:cs="Calibri"/>
              </w:rPr>
            </w:pPr>
          </w:p>
        </w:tc>
        <w:tc>
          <w:tcPr>
            <w:tcW w:w="7231" w:type="dxa"/>
            <w:gridSpan w:val="3"/>
            <w:tcBorders>
              <w:bottom w:val="single" w:sz="4" w:space="0" w:color="auto"/>
            </w:tcBorders>
            <w:shd w:val="clear" w:color="auto" w:fill="auto"/>
          </w:tcPr>
          <w:p w14:paraId="70F84ECB" w14:textId="20990190" w:rsidR="00EB37BB" w:rsidRDefault="00EB37BB" w:rsidP="00352363">
            <w:pPr>
              <w:pStyle w:val="ListParagraph"/>
              <w:numPr>
                <w:ilvl w:val="0"/>
                <w:numId w:val="4"/>
              </w:numPr>
            </w:pPr>
            <w:r>
              <w:t>Lorna Johnston (Executive Director)</w:t>
            </w:r>
          </w:p>
          <w:p w14:paraId="5A570369" w14:textId="3B8824CB" w:rsidR="006156C4" w:rsidRPr="008131F4" w:rsidRDefault="006156C4" w:rsidP="00352363">
            <w:pPr>
              <w:pStyle w:val="ListParagraph"/>
              <w:numPr>
                <w:ilvl w:val="0"/>
                <w:numId w:val="4"/>
              </w:numPr>
            </w:pPr>
            <w:r w:rsidRPr="008131F4">
              <w:t>Elaine McLean (Business Manager)</w:t>
            </w:r>
          </w:p>
          <w:p w14:paraId="1ECBD0A7" w14:textId="4EBDF939" w:rsidR="00FC1D77" w:rsidRPr="008131F4" w:rsidRDefault="00FC1D77" w:rsidP="00352363">
            <w:pPr>
              <w:pStyle w:val="NoSpacing"/>
              <w:ind w:left="279"/>
            </w:pPr>
          </w:p>
        </w:tc>
      </w:tr>
      <w:tr w:rsidR="00FC1D77" w:rsidRPr="00C677CD" w14:paraId="2DC91566"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ITEM</w:t>
            </w:r>
          </w:p>
        </w:tc>
        <w:tc>
          <w:tcPr>
            <w:tcW w:w="8120"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352363">
            <w:pPr>
              <w:spacing w:after="0" w:line="240" w:lineRule="auto"/>
              <w:rPr>
                <w:b/>
                <w:color w:val="FFFFFF"/>
                <w:sz w:val="24"/>
                <w:szCs w:val="24"/>
              </w:rPr>
            </w:pPr>
            <w:r w:rsidRPr="00C677CD">
              <w:rPr>
                <w:b/>
                <w:color w:val="FFFFFF"/>
                <w:sz w:val="24"/>
                <w:szCs w:val="24"/>
              </w:rPr>
              <w:t>CONTENT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352363">
            <w:pPr>
              <w:spacing w:after="0" w:line="240" w:lineRule="auto"/>
              <w:rPr>
                <w:b/>
                <w:sz w:val="24"/>
                <w:szCs w:val="24"/>
              </w:rPr>
            </w:pPr>
            <w:r w:rsidRPr="00C677CD">
              <w:rPr>
                <w:b/>
                <w:sz w:val="24"/>
                <w:szCs w:val="24"/>
              </w:rPr>
              <w:t>STANDING ITEMS</w:t>
            </w:r>
          </w:p>
        </w:tc>
      </w:tr>
      <w:tr w:rsidR="00FC1D77" w:rsidRPr="00C677CD" w14:paraId="4EC3A165" w14:textId="77777777" w:rsidTr="005B2FFA">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352363">
            <w:pPr>
              <w:pStyle w:val="ListParagraph"/>
              <w:numPr>
                <w:ilvl w:val="0"/>
                <w:numId w:val="1"/>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Default="00ED5BF7" w:rsidP="00ED5BF7">
            <w:pPr>
              <w:pStyle w:val="Heading3"/>
              <w:jc w:val="left"/>
              <w:rPr>
                <w:rFonts w:ascii="Calibri" w:hAnsi="Calibri" w:cs="Calibri"/>
                <w:sz w:val="22"/>
                <w:szCs w:val="22"/>
              </w:rPr>
            </w:pPr>
            <w:r>
              <w:rPr>
                <w:rFonts w:ascii="Calibri" w:hAnsi="Calibri" w:cs="Calibri"/>
                <w:sz w:val="22"/>
                <w:szCs w:val="22"/>
              </w:rPr>
              <w:t>APOLOGIES</w:t>
            </w:r>
          </w:p>
          <w:p w14:paraId="17429D99" w14:textId="77777777" w:rsidR="00EB37BB" w:rsidRDefault="00EB37BB" w:rsidP="00EB37BB">
            <w:pPr>
              <w:pStyle w:val="Heading3"/>
              <w:jc w:val="left"/>
              <w:rPr>
                <w:rFonts w:ascii="Calibri" w:hAnsi="Calibri" w:cs="Calibri"/>
                <w:b w:val="0"/>
                <w:sz w:val="22"/>
                <w:szCs w:val="22"/>
              </w:rPr>
            </w:pPr>
            <w:r>
              <w:rPr>
                <w:rFonts w:ascii="Calibri" w:hAnsi="Calibri" w:cs="Calibri"/>
                <w:b w:val="0"/>
                <w:sz w:val="22"/>
                <w:szCs w:val="22"/>
              </w:rPr>
              <w:t>There were no apologies.</w:t>
            </w:r>
          </w:p>
          <w:p w14:paraId="3F8DC2CC" w14:textId="77777777" w:rsidR="00ED5BF7" w:rsidRDefault="00ED5BF7" w:rsidP="00ED5BF7">
            <w:pPr>
              <w:pStyle w:val="Heading3"/>
              <w:jc w:val="left"/>
              <w:rPr>
                <w:rFonts w:ascii="Calibri" w:hAnsi="Calibri" w:cs="Calibri"/>
                <w:b w:val="0"/>
                <w:sz w:val="22"/>
                <w:szCs w:val="22"/>
              </w:rPr>
            </w:pPr>
          </w:p>
          <w:p w14:paraId="3C76CF78" w14:textId="77777777" w:rsidR="00ED5BF7" w:rsidRPr="00C677CD" w:rsidRDefault="00ED5BF7" w:rsidP="00ED5BF7">
            <w:pPr>
              <w:spacing w:after="0" w:line="240" w:lineRule="auto"/>
              <w:rPr>
                <w:rFonts w:cs="Calibri"/>
              </w:rPr>
            </w:pPr>
            <w:r>
              <w:rPr>
                <w:rFonts w:cs="Calibri"/>
                <w:b/>
              </w:rPr>
              <w:t>DECLARATIONS</w:t>
            </w:r>
            <w:r w:rsidRPr="00C677CD">
              <w:rPr>
                <w:rFonts w:cs="Calibri"/>
                <w:b/>
              </w:rPr>
              <w:t xml:space="preserve"> OF INTEREST</w:t>
            </w:r>
          </w:p>
          <w:p w14:paraId="487A5E73" w14:textId="350213BF" w:rsidR="003E3922" w:rsidRPr="00C677CD" w:rsidRDefault="00ED5BF7" w:rsidP="00ED5BF7">
            <w:pPr>
              <w:spacing w:after="0" w:line="240" w:lineRule="auto"/>
              <w:rPr>
                <w:rFonts w:cs="Calibri"/>
              </w:rPr>
            </w:pPr>
            <w:r w:rsidRPr="0029574E">
              <w:rPr>
                <w:rFonts w:cs="Calibri"/>
              </w:rPr>
              <w:t>No declarations of interest were made.</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352363">
            <w:pPr>
              <w:spacing w:after="0" w:line="240" w:lineRule="auto"/>
              <w:rPr>
                <w:rFonts w:cs="Calibri"/>
              </w:rPr>
            </w:pPr>
          </w:p>
        </w:tc>
      </w:tr>
      <w:tr w:rsidR="00FC1D77" w:rsidRPr="00C677CD" w14:paraId="3ACB7E47"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352363">
            <w:pPr>
              <w:pStyle w:val="ListParagraph"/>
              <w:numPr>
                <w:ilvl w:val="0"/>
                <w:numId w:val="1"/>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352363">
            <w:pPr>
              <w:spacing w:after="0" w:line="240" w:lineRule="auto"/>
              <w:ind w:left="18" w:hanging="18"/>
              <w:rPr>
                <w:rFonts w:cs="Calibri"/>
                <w:b/>
              </w:rPr>
            </w:pPr>
            <w:r w:rsidRPr="00C677CD">
              <w:rPr>
                <w:rFonts w:cs="Calibri"/>
                <w:b/>
              </w:rPr>
              <w:t>DRAFT MINUTE OF PREVIOUS MEETING</w:t>
            </w:r>
          </w:p>
          <w:p w14:paraId="32BCD055" w14:textId="0E360237" w:rsidR="00ED5BF7" w:rsidRPr="00E460CA" w:rsidRDefault="00ED5BF7" w:rsidP="00ED5BF7">
            <w:pPr>
              <w:spacing w:after="0" w:line="240" w:lineRule="auto"/>
              <w:rPr>
                <w:rFonts w:cs="Calibri"/>
              </w:rPr>
            </w:pPr>
            <w:r w:rsidRPr="00E460CA">
              <w:rPr>
                <w:rFonts w:cs="Calibri"/>
              </w:rPr>
              <w:t xml:space="preserve">Members reviewed and approved the minutes of the meeting on </w:t>
            </w:r>
            <w:r w:rsidR="00EB7827">
              <w:rPr>
                <w:rFonts w:cs="Calibri"/>
              </w:rPr>
              <w:t>17 December</w:t>
            </w:r>
            <w:r w:rsidRPr="00E460CA">
              <w:rPr>
                <w:rFonts w:cs="Calibri"/>
              </w:rPr>
              <w:t xml:space="preserve"> 2018.</w:t>
            </w:r>
          </w:p>
          <w:p w14:paraId="6CF2CB1C" w14:textId="5C3B818D" w:rsidR="003E3922" w:rsidRPr="00C677CD" w:rsidRDefault="003E3922" w:rsidP="003E3922">
            <w:pPr>
              <w:spacing w:after="0" w:line="240" w:lineRule="auto"/>
              <w:rPr>
                <w:rFonts w:cs="Calibri"/>
                <w:highlight w:val="yellow"/>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352363">
            <w:pPr>
              <w:spacing w:after="0" w:line="240" w:lineRule="auto"/>
              <w:rPr>
                <w:rFonts w:cs="Calibri"/>
              </w:rPr>
            </w:pPr>
          </w:p>
        </w:tc>
      </w:tr>
      <w:tr w:rsidR="00FC1D77" w:rsidRPr="000C0AF8" w14:paraId="005E2DE2"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352363">
            <w:pPr>
              <w:pStyle w:val="ListParagraph"/>
              <w:numPr>
                <w:ilvl w:val="0"/>
                <w:numId w:val="3"/>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352363">
            <w:pPr>
              <w:spacing w:after="0" w:line="240" w:lineRule="auto"/>
              <w:rPr>
                <w:rFonts w:cs="Calibri"/>
                <w:b/>
              </w:rPr>
            </w:pPr>
            <w:r w:rsidRPr="00AD5C75">
              <w:rPr>
                <w:rFonts w:cs="Calibri"/>
                <w:b/>
              </w:rPr>
              <w:t>MATTERS ARISING</w:t>
            </w:r>
          </w:p>
          <w:p w14:paraId="72862C9E" w14:textId="69A5799C" w:rsidR="005119B7" w:rsidRDefault="00D27D8F" w:rsidP="00352363">
            <w:pPr>
              <w:spacing w:after="0" w:line="240" w:lineRule="auto"/>
              <w:rPr>
                <w:rFonts w:cs="Calibri"/>
              </w:rPr>
            </w:pPr>
            <w:r>
              <w:rPr>
                <w:rFonts w:cs="Calibri"/>
              </w:rPr>
              <w:t xml:space="preserve">Members noted </w:t>
            </w:r>
            <w:r w:rsidR="009E43E8" w:rsidRPr="006E1A85">
              <w:rPr>
                <w:rFonts w:cs="Calibri"/>
              </w:rPr>
              <w:t>that all</w:t>
            </w:r>
            <w:r>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34DBE252" w:rsidR="00D27D8F" w:rsidRPr="00AD5C75" w:rsidRDefault="00D27D8F" w:rsidP="00352363">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352363">
            <w:pPr>
              <w:spacing w:after="0" w:line="240" w:lineRule="auto"/>
              <w:rPr>
                <w:rFonts w:cs="Calibri"/>
                <w:b/>
                <w:highlight w:val="yellow"/>
              </w:rPr>
            </w:pPr>
          </w:p>
          <w:p w14:paraId="57CD7714" w14:textId="649F9FB1" w:rsidR="00CC5A9C" w:rsidRPr="000C0AF8" w:rsidRDefault="00CC5A9C" w:rsidP="008131F4">
            <w:pPr>
              <w:spacing w:after="0" w:line="240" w:lineRule="auto"/>
              <w:rPr>
                <w:rFonts w:cs="Calibri"/>
                <w:b/>
                <w:highlight w:val="yellow"/>
              </w:rPr>
            </w:pPr>
          </w:p>
        </w:tc>
      </w:tr>
      <w:tr w:rsidR="00064DB8" w:rsidRPr="000C0AF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FC6376" w:rsidRDefault="00064DB8" w:rsidP="00352363">
            <w:pPr>
              <w:spacing w:after="0" w:line="240" w:lineRule="auto"/>
              <w:rPr>
                <w:rFonts w:cs="Calibri"/>
                <w:b/>
                <w:sz w:val="26"/>
              </w:rPr>
            </w:pPr>
            <w:r>
              <w:rPr>
                <w:rFonts w:cs="Calibri"/>
                <w:b/>
                <w:sz w:val="26"/>
              </w:rPr>
              <w:t>STRATEGIC MATTERS</w:t>
            </w:r>
          </w:p>
        </w:tc>
      </w:tr>
      <w:tr w:rsidR="00ED5BF7" w:rsidRPr="000C0AF8" w14:paraId="41D81D99" w14:textId="77777777" w:rsidTr="005B2FFA">
        <w:trPr>
          <w:trHeight w:val="127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ED5BF7" w:rsidRPr="00AD5C75" w:rsidRDefault="00ED5BF7" w:rsidP="006A022E">
            <w:pPr>
              <w:pStyle w:val="ListParagraph"/>
              <w:numPr>
                <w:ilvl w:val="0"/>
                <w:numId w:val="3"/>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DE8571D" w14:textId="77777777" w:rsidR="00ED5BF7" w:rsidRDefault="00ED5BF7" w:rsidP="00ED5BF7">
            <w:pPr>
              <w:spacing w:after="0" w:line="240" w:lineRule="auto"/>
              <w:rPr>
                <w:rFonts w:cs="Calibri"/>
              </w:rPr>
            </w:pPr>
            <w:r>
              <w:rPr>
                <w:rFonts w:cs="Calibri"/>
                <w:b/>
              </w:rPr>
              <w:t xml:space="preserve">OUTREACH AND PROMOTION WORK </w:t>
            </w:r>
          </w:p>
          <w:p w14:paraId="72743D37" w14:textId="5710407C" w:rsidR="00561BC5" w:rsidRDefault="00C42CA5" w:rsidP="00561BC5">
            <w:pPr>
              <w:spacing w:after="0" w:line="240" w:lineRule="auto"/>
              <w:rPr>
                <w:rFonts w:cs="Calibri"/>
              </w:rPr>
            </w:pPr>
            <w:r>
              <w:rPr>
                <w:rFonts w:cs="Calibri"/>
              </w:rPr>
              <w:t>The Convener advised that he and the Exe</w:t>
            </w:r>
            <w:r w:rsidR="00561BC5">
              <w:rPr>
                <w:rFonts w:cs="Calibri"/>
              </w:rPr>
              <w:t>c</w:t>
            </w:r>
            <w:r>
              <w:rPr>
                <w:rFonts w:cs="Calibri"/>
              </w:rPr>
              <w:t xml:space="preserve">utive Director had met with </w:t>
            </w:r>
            <w:r w:rsidR="00561BC5">
              <w:rPr>
                <w:rFonts w:cs="Calibri"/>
              </w:rPr>
              <w:t xml:space="preserve">a public relations company on 23 January 2019 and had agreed to instruct </w:t>
            </w:r>
            <w:r w:rsidR="007C7E26">
              <w:rPr>
                <w:rFonts w:cs="Calibri"/>
              </w:rPr>
              <w:t>external support</w:t>
            </w:r>
            <w:r w:rsidR="0059466C">
              <w:rPr>
                <w:rFonts w:cs="Calibri"/>
              </w:rPr>
              <w:t>,</w:t>
            </w:r>
            <w:r w:rsidR="007C7E26">
              <w:rPr>
                <w:rFonts w:cs="Calibri"/>
              </w:rPr>
              <w:t xml:space="preserve"> on a project by project basis</w:t>
            </w:r>
            <w:r w:rsidR="0059466C">
              <w:rPr>
                <w:rFonts w:cs="Calibri"/>
              </w:rPr>
              <w:t>,</w:t>
            </w:r>
            <w:r w:rsidR="007C7E26">
              <w:rPr>
                <w:rFonts w:cs="Calibri"/>
              </w:rPr>
              <w:t xml:space="preserve"> to assist the Standards Commission in proactively communicating about any key messages</w:t>
            </w:r>
            <w:r w:rsidR="00561BC5">
              <w:rPr>
                <w:rFonts w:cs="Calibri"/>
              </w:rPr>
              <w:t xml:space="preserve"> on,</w:t>
            </w:r>
            <w:r w:rsidR="007C7E26">
              <w:rPr>
                <w:rFonts w:cs="Calibri"/>
              </w:rPr>
              <w:t xml:space="preserve"> </w:t>
            </w:r>
            <w:r w:rsidR="00561BC5">
              <w:rPr>
                <w:rFonts w:cs="Calibri"/>
              </w:rPr>
              <w:t>and</w:t>
            </w:r>
            <w:r w:rsidR="007C7E26">
              <w:rPr>
                <w:rFonts w:cs="Calibri"/>
              </w:rPr>
              <w:t xml:space="preserve"> initiatives it was undertaking to support improvements to</w:t>
            </w:r>
            <w:r w:rsidR="00561BC5">
              <w:rPr>
                <w:rFonts w:cs="Calibri"/>
              </w:rPr>
              <w:t>,</w:t>
            </w:r>
            <w:r w:rsidR="007C7E26">
              <w:rPr>
                <w:rFonts w:cs="Calibri"/>
              </w:rPr>
              <w:t xml:space="preserve"> the ethical standards framework and the Codes of Conduct.</w:t>
            </w:r>
            <w:r w:rsidR="00561BC5">
              <w:rPr>
                <w:rFonts w:cs="Calibri"/>
              </w:rPr>
              <w:t xml:space="preserve">  The Convener advised that it was intended that, initially, the company would assist the Standards Commission in drafting and issuing a news release and thereafter placing an opinion piece on </w:t>
            </w:r>
            <w:r w:rsidR="007C7E26">
              <w:rPr>
                <w:rFonts w:cs="Calibri"/>
              </w:rPr>
              <w:t>the main points and messages arising from the responses to the Standards Commission’s survey of Members of Devolved Public Bodies.</w:t>
            </w:r>
            <w:r w:rsidR="003A4020">
              <w:rPr>
                <w:rFonts w:cs="Calibri"/>
              </w:rPr>
              <w:t xml:space="preserve">  Members agreed that the possibility of trying to obtain some radio coverage should also be explored with the company.</w:t>
            </w:r>
          </w:p>
          <w:p w14:paraId="7348019B" w14:textId="65477A44" w:rsidR="0081552A" w:rsidRPr="00064DB8" w:rsidRDefault="007C7E26" w:rsidP="00B15A96">
            <w:pPr>
              <w:spacing w:after="0" w:line="240" w:lineRule="auto"/>
              <w:rPr>
                <w:rFonts w:cs="Calibri"/>
              </w:rPr>
            </w:pPr>
            <w:r>
              <w:rPr>
                <w:rFonts w:cs="Calibri"/>
              </w:rPr>
              <w:t xml:space="preserve">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ED5BF7" w:rsidRDefault="00ED5BF7" w:rsidP="00ED5BF7">
            <w:pPr>
              <w:spacing w:after="0" w:line="240" w:lineRule="auto"/>
              <w:rPr>
                <w:rFonts w:cs="Calibri"/>
                <w:b/>
                <w:highlight w:val="yellow"/>
              </w:rPr>
            </w:pPr>
          </w:p>
          <w:p w14:paraId="206A9885" w14:textId="7405970D" w:rsidR="00ED5BF7" w:rsidRDefault="00ED5BF7" w:rsidP="00ED5BF7">
            <w:pPr>
              <w:spacing w:after="0" w:line="240" w:lineRule="auto"/>
              <w:rPr>
                <w:rFonts w:cs="Calibri"/>
                <w:b/>
                <w:highlight w:val="yellow"/>
              </w:rPr>
            </w:pPr>
          </w:p>
          <w:p w14:paraId="1580CF80" w14:textId="09A52C0F" w:rsidR="007C7E26" w:rsidRDefault="007C7E26" w:rsidP="00ED5BF7">
            <w:pPr>
              <w:spacing w:after="0" w:line="240" w:lineRule="auto"/>
              <w:rPr>
                <w:rFonts w:cs="Calibri"/>
                <w:b/>
                <w:highlight w:val="yellow"/>
              </w:rPr>
            </w:pPr>
          </w:p>
          <w:p w14:paraId="2097E4A9" w14:textId="7E2BFD7C" w:rsidR="007C7E26" w:rsidRDefault="007C7E26" w:rsidP="00ED5BF7">
            <w:pPr>
              <w:spacing w:after="0" w:line="240" w:lineRule="auto"/>
              <w:rPr>
                <w:rFonts w:cs="Calibri"/>
                <w:b/>
                <w:highlight w:val="yellow"/>
              </w:rPr>
            </w:pPr>
          </w:p>
          <w:p w14:paraId="78A872EF" w14:textId="77777777" w:rsidR="007C7E26" w:rsidRDefault="007C7E26" w:rsidP="00ED5BF7">
            <w:pPr>
              <w:spacing w:after="0" w:line="240" w:lineRule="auto"/>
              <w:rPr>
                <w:rFonts w:cs="Calibri"/>
                <w:b/>
                <w:highlight w:val="yellow"/>
              </w:rPr>
            </w:pPr>
          </w:p>
          <w:p w14:paraId="12775B38" w14:textId="2586C6CA" w:rsidR="0081552A" w:rsidRDefault="0081552A" w:rsidP="00ED5BF7">
            <w:pPr>
              <w:spacing w:after="0" w:line="240" w:lineRule="auto"/>
              <w:rPr>
                <w:rFonts w:cs="Calibri"/>
                <w:b/>
                <w:highlight w:val="yellow"/>
              </w:rPr>
            </w:pPr>
          </w:p>
          <w:p w14:paraId="3E8502E2" w14:textId="0FCC673B" w:rsidR="003A4020" w:rsidRDefault="003A4020" w:rsidP="00ED5BF7">
            <w:pPr>
              <w:spacing w:after="0" w:line="240" w:lineRule="auto"/>
              <w:rPr>
                <w:rFonts w:cs="Calibri"/>
                <w:b/>
                <w:highlight w:val="yellow"/>
              </w:rPr>
            </w:pPr>
          </w:p>
          <w:p w14:paraId="2FA0EEB8" w14:textId="77777777" w:rsidR="003A4020" w:rsidRDefault="003A4020" w:rsidP="00ED5BF7">
            <w:pPr>
              <w:spacing w:after="0" w:line="240" w:lineRule="auto"/>
              <w:rPr>
                <w:rFonts w:cs="Calibri"/>
                <w:b/>
                <w:highlight w:val="yellow"/>
              </w:rPr>
            </w:pPr>
          </w:p>
          <w:p w14:paraId="48387FD2" w14:textId="77777777" w:rsidR="00561BC5" w:rsidRDefault="00561BC5" w:rsidP="00ED5BF7">
            <w:pPr>
              <w:spacing w:after="0" w:line="240" w:lineRule="auto"/>
              <w:rPr>
                <w:rFonts w:cs="Calibri"/>
                <w:b/>
                <w:highlight w:val="yellow"/>
              </w:rPr>
            </w:pPr>
          </w:p>
          <w:p w14:paraId="72436491" w14:textId="5BA25016" w:rsidR="00ED5BF7" w:rsidRDefault="0081552A" w:rsidP="00ED5BF7">
            <w:pPr>
              <w:spacing w:after="0" w:line="240" w:lineRule="auto"/>
              <w:rPr>
                <w:rFonts w:cs="Calibri"/>
                <w:b/>
              </w:rPr>
            </w:pPr>
            <w:r w:rsidRPr="0081552A">
              <w:rPr>
                <w:rFonts w:cs="Calibri"/>
                <w:b/>
              </w:rPr>
              <w:t>Executive Director</w:t>
            </w:r>
          </w:p>
          <w:p w14:paraId="2C728EAC" w14:textId="1DF4F520" w:rsidR="00ED5BF7" w:rsidRPr="000C0AF8" w:rsidRDefault="00ED5BF7" w:rsidP="00ED5BF7">
            <w:pPr>
              <w:spacing w:after="0" w:line="240" w:lineRule="auto"/>
              <w:rPr>
                <w:rFonts w:cs="Calibri"/>
                <w:b/>
                <w:highlight w:val="yellow"/>
              </w:rPr>
            </w:pPr>
          </w:p>
        </w:tc>
      </w:tr>
      <w:tr w:rsidR="00644600" w:rsidRPr="000C0AF8" w14:paraId="411DD845" w14:textId="77777777" w:rsidTr="005B2FFA">
        <w:trPr>
          <w:trHeight w:val="983"/>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2A95D25" w14:textId="77777777" w:rsidR="00644600" w:rsidRPr="00AD5C75" w:rsidRDefault="00644600" w:rsidP="006A022E">
            <w:pPr>
              <w:pStyle w:val="ListParagraph"/>
              <w:numPr>
                <w:ilvl w:val="0"/>
                <w:numId w:val="3"/>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87AA4A9" w14:textId="37248960" w:rsidR="00644600" w:rsidRPr="00644600" w:rsidRDefault="00EB7827" w:rsidP="00ED5BF7">
            <w:pPr>
              <w:spacing w:after="0" w:line="240" w:lineRule="auto"/>
              <w:rPr>
                <w:rFonts w:cs="Calibri"/>
              </w:rPr>
            </w:pPr>
            <w:r>
              <w:rPr>
                <w:rFonts w:cs="Calibri"/>
                <w:b/>
              </w:rPr>
              <w:t>DRAFT BUSINESS PLAN 2019/20</w:t>
            </w:r>
          </w:p>
          <w:p w14:paraId="57E85FA1" w14:textId="77777777" w:rsidR="00644600" w:rsidRDefault="00CA7C46" w:rsidP="000E7259">
            <w:pPr>
              <w:spacing w:after="0" w:line="240" w:lineRule="auto"/>
              <w:rPr>
                <w:rFonts w:cs="Calibri"/>
              </w:rPr>
            </w:pPr>
            <w:r w:rsidRPr="00CA7C46">
              <w:rPr>
                <w:rFonts w:cs="Calibri"/>
              </w:rPr>
              <w:t>Subject to some amendments</w:t>
            </w:r>
            <w:r>
              <w:rPr>
                <w:rFonts w:cs="Calibri"/>
              </w:rPr>
              <w:t xml:space="preserve"> and additions</w:t>
            </w:r>
            <w:r w:rsidRPr="00CA7C46">
              <w:rPr>
                <w:rFonts w:cs="Calibri"/>
              </w:rPr>
              <w:t>, Members agreed the Business Plan for 201</w:t>
            </w:r>
            <w:r>
              <w:rPr>
                <w:rFonts w:cs="Calibri"/>
              </w:rPr>
              <w:t>9</w:t>
            </w:r>
            <w:r w:rsidRPr="00CA7C46">
              <w:rPr>
                <w:rFonts w:cs="Calibri"/>
              </w:rPr>
              <w:t xml:space="preserve"> / 20</w:t>
            </w:r>
            <w:r>
              <w:rPr>
                <w:rFonts w:cs="Calibri"/>
              </w:rPr>
              <w:t>20, in support of the final year of the Standards Commission’s Strategic Plan 2016 to 2020</w:t>
            </w:r>
            <w:r w:rsidRPr="00CA7C46">
              <w:rPr>
                <w:rFonts w:cs="Calibri"/>
              </w:rPr>
              <w:t>.  Members noted the Executive Team would prepare a draft Risk Register for consideration at the Standards Commission meeting on 2</w:t>
            </w:r>
            <w:r w:rsidR="009A6EAD">
              <w:rPr>
                <w:rFonts w:cs="Calibri"/>
              </w:rPr>
              <w:t>5</w:t>
            </w:r>
            <w:r w:rsidRPr="00CA7C46">
              <w:rPr>
                <w:rFonts w:cs="Calibri"/>
              </w:rPr>
              <w:t xml:space="preserve"> February 201</w:t>
            </w:r>
            <w:r w:rsidR="009A6EAD">
              <w:rPr>
                <w:rFonts w:cs="Calibri"/>
              </w:rPr>
              <w:t>9</w:t>
            </w:r>
            <w:r w:rsidRPr="00CA7C46">
              <w:rPr>
                <w:rFonts w:cs="Calibri"/>
              </w:rPr>
              <w:t xml:space="preserve">.  Once this was agreed, references to the Risk Register would be added and the Business Plan brought back for noting at the following meeting.  </w:t>
            </w:r>
          </w:p>
          <w:p w14:paraId="06671A81" w14:textId="2D88105C" w:rsidR="00CA7C46" w:rsidRPr="00644600" w:rsidRDefault="00CA7C46" w:rsidP="000E7259">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C7073F8" w14:textId="77777777" w:rsidR="00644600" w:rsidRDefault="00644600" w:rsidP="00ED5BF7">
            <w:pPr>
              <w:spacing w:after="0" w:line="240" w:lineRule="auto"/>
              <w:rPr>
                <w:rFonts w:cs="Calibri"/>
                <w:b/>
                <w:highlight w:val="yellow"/>
              </w:rPr>
            </w:pPr>
          </w:p>
        </w:tc>
      </w:tr>
      <w:tr w:rsidR="00ED5BF7" w:rsidRPr="000C0AF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4A1A7D82" w:rsidR="00ED5BF7" w:rsidRPr="004B3CD0" w:rsidRDefault="00ED5BF7" w:rsidP="00ED5BF7">
            <w:pPr>
              <w:spacing w:after="0" w:line="240" w:lineRule="auto"/>
              <w:rPr>
                <w:rFonts w:cs="Calibri"/>
                <w:b/>
              </w:rPr>
            </w:pPr>
            <w:r w:rsidRPr="00FC6376">
              <w:rPr>
                <w:rFonts w:cs="Calibri"/>
                <w:b/>
                <w:sz w:val="26"/>
              </w:rPr>
              <w:t>BUSINESS MATTERS</w:t>
            </w:r>
          </w:p>
        </w:tc>
      </w:tr>
      <w:tr w:rsidR="002D3266" w:rsidRPr="000C0AF8" w14:paraId="79E05375" w14:textId="77777777" w:rsidTr="005B2FFA">
        <w:trPr>
          <w:trHeight w:val="83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63DC10E" w14:textId="441052B8" w:rsidR="002D3266" w:rsidRPr="00064DB8" w:rsidRDefault="002D3266" w:rsidP="00ED5BF7">
            <w:pPr>
              <w:pStyle w:val="ListParagraph"/>
              <w:numPr>
                <w:ilvl w:val="0"/>
                <w:numId w:val="3"/>
              </w:numPr>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9A4A3EB" w14:textId="77777777" w:rsidR="002D3266" w:rsidRPr="001C6B0C" w:rsidRDefault="002D3266" w:rsidP="00ED5BF7">
            <w:pPr>
              <w:spacing w:after="0" w:line="240" w:lineRule="auto"/>
              <w:rPr>
                <w:rFonts w:cs="Calibri"/>
                <w:b/>
              </w:rPr>
            </w:pPr>
            <w:r w:rsidRPr="001C6B0C">
              <w:rPr>
                <w:rFonts w:cs="Calibri"/>
                <w:b/>
              </w:rPr>
              <w:t xml:space="preserve">COMMUNICATIONS: </w:t>
            </w:r>
          </w:p>
          <w:p w14:paraId="3AE36156" w14:textId="79E9ADF9" w:rsidR="0081552A" w:rsidRDefault="00931EBA" w:rsidP="00ED5BF7">
            <w:pPr>
              <w:pStyle w:val="ListParagraph"/>
              <w:numPr>
                <w:ilvl w:val="0"/>
                <w:numId w:val="12"/>
              </w:numPr>
              <w:spacing w:after="0" w:line="240" w:lineRule="auto"/>
              <w:ind w:left="467" w:hanging="467"/>
              <w:rPr>
                <w:rFonts w:cs="Calibri"/>
                <w:b/>
              </w:rPr>
            </w:pPr>
            <w:r>
              <w:rPr>
                <w:rFonts w:cs="Calibri"/>
                <w:b/>
              </w:rPr>
              <w:t>New Member Recruitment Update</w:t>
            </w:r>
          </w:p>
          <w:p w14:paraId="07CC04D4" w14:textId="0AEC8E3F" w:rsidR="00B15D84" w:rsidRPr="00931EBA" w:rsidRDefault="00561BC5" w:rsidP="0081552A">
            <w:pPr>
              <w:spacing w:after="0" w:line="240" w:lineRule="auto"/>
              <w:rPr>
                <w:rFonts w:cs="Calibri"/>
              </w:rPr>
            </w:pPr>
            <w:r>
              <w:rPr>
                <w:rFonts w:cs="Calibri"/>
              </w:rPr>
              <w:t>Members noted that t</w:t>
            </w:r>
            <w:r w:rsidRPr="00561BC5">
              <w:rPr>
                <w:rFonts w:cs="Calibri"/>
              </w:rPr>
              <w:t xml:space="preserve">he interviews for </w:t>
            </w:r>
            <w:r>
              <w:rPr>
                <w:rFonts w:cs="Calibri"/>
              </w:rPr>
              <w:t>Mrs Gallanders’</w:t>
            </w:r>
            <w:r w:rsidRPr="00561BC5">
              <w:rPr>
                <w:rFonts w:cs="Calibri"/>
              </w:rPr>
              <w:t xml:space="preserve"> replacement </w:t>
            </w:r>
            <w:r>
              <w:rPr>
                <w:rFonts w:cs="Calibri"/>
              </w:rPr>
              <w:t>had been c</w:t>
            </w:r>
            <w:r w:rsidR="009923E1">
              <w:rPr>
                <w:rFonts w:cs="Calibri"/>
              </w:rPr>
              <w:t>onducted by the Scottish P</w:t>
            </w:r>
            <w:r>
              <w:rPr>
                <w:rFonts w:cs="Calibri"/>
              </w:rPr>
              <w:t xml:space="preserve">arliamentary Corporate Body (SPCB) on </w:t>
            </w:r>
            <w:r w:rsidR="009923E1">
              <w:rPr>
                <w:rFonts w:cs="Calibri"/>
              </w:rPr>
              <w:t>21 January 2019.  The SPCB had subsequently advised that they had</w:t>
            </w:r>
            <w:r w:rsidRPr="00561BC5">
              <w:rPr>
                <w:rFonts w:cs="Calibri"/>
              </w:rPr>
              <w:t xml:space="preserve"> chosen</w:t>
            </w:r>
            <w:r w:rsidR="009923E1">
              <w:rPr>
                <w:rFonts w:cs="Calibri"/>
              </w:rPr>
              <w:t xml:space="preserve"> a</w:t>
            </w:r>
            <w:r w:rsidRPr="00561BC5">
              <w:rPr>
                <w:rFonts w:cs="Calibri"/>
              </w:rPr>
              <w:t xml:space="preserve"> successful candidate.</w:t>
            </w:r>
            <w:r w:rsidR="00CA7C46">
              <w:rPr>
                <w:rFonts w:cs="Calibri"/>
              </w:rPr>
              <w:t xml:space="preserve">  Members asked the Executive Director to keep them updated on any further progress.</w:t>
            </w:r>
          </w:p>
          <w:p w14:paraId="6C756CE7" w14:textId="77777777" w:rsidR="00931EBA" w:rsidRPr="00931EBA" w:rsidRDefault="00931EBA" w:rsidP="0081552A">
            <w:pPr>
              <w:spacing w:after="0" w:line="240" w:lineRule="auto"/>
              <w:rPr>
                <w:rFonts w:cs="Calibri"/>
              </w:rPr>
            </w:pPr>
          </w:p>
          <w:p w14:paraId="3C316D60" w14:textId="11EB141F" w:rsidR="002D3266" w:rsidRPr="001C6B0C" w:rsidRDefault="00931EBA" w:rsidP="00ED5BF7">
            <w:pPr>
              <w:pStyle w:val="ListParagraph"/>
              <w:numPr>
                <w:ilvl w:val="0"/>
                <w:numId w:val="12"/>
              </w:numPr>
              <w:spacing w:after="0" w:line="240" w:lineRule="auto"/>
              <w:ind w:left="467" w:hanging="467"/>
              <w:rPr>
                <w:rFonts w:cs="Calibri"/>
                <w:b/>
              </w:rPr>
            </w:pPr>
            <w:r>
              <w:rPr>
                <w:rFonts w:cs="Calibri"/>
                <w:b/>
              </w:rPr>
              <w:t>Assisting Constituents Card</w:t>
            </w:r>
          </w:p>
          <w:p w14:paraId="7D80D795" w14:textId="5CE5DF61" w:rsidR="002D3266" w:rsidRDefault="00CA7C46" w:rsidP="00ED5BF7">
            <w:pPr>
              <w:pStyle w:val="ListParagraph"/>
              <w:ind w:left="0"/>
              <w:rPr>
                <w:rFonts w:cs="Calibri"/>
              </w:rPr>
            </w:pPr>
            <w:r>
              <w:rPr>
                <w:rFonts w:cs="Calibri"/>
              </w:rPr>
              <w:t xml:space="preserve">Members noted that a draft </w:t>
            </w:r>
            <w:r w:rsidRPr="00CA7C46">
              <w:rPr>
                <w:rFonts w:cs="Calibri"/>
              </w:rPr>
              <w:t>Assisting Constituents Card</w:t>
            </w:r>
            <w:r>
              <w:rPr>
                <w:rFonts w:cs="Calibri"/>
              </w:rPr>
              <w:t xml:space="preserve"> had been issued to all Monitoring Officer</w:t>
            </w:r>
            <w:r w:rsidR="0059466C">
              <w:rPr>
                <w:rFonts w:cs="Calibri"/>
              </w:rPr>
              <w:t>s</w:t>
            </w:r>
            <w:r w:rsidR="00292DA3">
              <w:rPr>
                <w:rFonts w:cs="Calibri"/>
              </w:rPr>
              <w:t>, the Improvement Service and</w:t>
            </w:r>
            <w:r>
              <w:rPr>
                <w:rFonts w:cs="Calibri"/>
              </w:rPr>
              <w:t xml:space="preserve"> elected members of South Lanarkshire Council.  The feedback on the content and format received to date had been positive.  Members agreed that the once all feedback had been obtained and collated, the Executive Team should finalise and issue the Card at the end of the following month.</w:t>
            </w:r>
          </w:p>
          <w:p w14:paraId="10AE7B62" w14:textId="77777777" w:rsidR="00931EBA" w:rsidRDefault="00931EBA" w:rsidP="00ED5BF7">
            <w:pPr>
              <w:pStyle w:val="ListParagraph"/>
              <w:ind w:left="0"/>
              <w:rPr>
                <w:rFonts w:cs="Calibri"/>
              </w:rPr>
            </w:pPr>
          </w:p>
          <w:p w14:paraId="147BE288" w14:textId="68A50D9B" w:rsidR="002D3266" w:rsidRDefault="00931EBA" w:rsidP="00ED5BF7">
            <w:pPr>
              <w:pStyle w:val="ListParagraph"/>
              <w:numPr>
                <w:ilvl w:val="0"/>
                <w:numId w:val="12"/>
              </w:numPr>
              <w:spacing w:after="0" w:line="240" w:lineRule="auto"/>
              <w:ind w:left="467" w:hanging="467"/>
              <w:rPr>
                <w:rFonts w:cs="Calibri"/>
                <w:b/>
              </w:rPr>
            </w:pPr>
            <w:r>
              <w:rPr>
                <w:rFonts w:cs="Calibri"/>
                <w:b/>
              </w:rPr>
              <w:t>Survey of Members of Devolved Public Bodies</w:t>
            </w:r>
          </w:p>
          <w:p w14:paraId="457BFE5A" w14:textId="00D7FAF7" w:rsidR="00E877CA" w:rsidRDefault="00CA7C46" w:rsidP="00E877CA">
            <w:pPr>
              <w:spacing w:after="0" w:line="240" w:lineRule="auto"/>
              <w:rPr>
                <w:rFonts w:cs="Calibri"/>
              </w:rPr>
            </w:pPr>
            <w:r w:rsidRPr="00292DA3">
              <w:rPr>
                <w:rFonts w:cs="Calibri"/>
              </w:rPr>
              <w:t xml:space="preserve">Members </w:t>
            </w:r>
            <w:r w:rsidR="003A4020" w:rsidRPr="00292DA3">
              <w:rPr>
                <w:rFonts w:cs="Calibri"/>
              </w:rPr>
              <w:t xml:space="preserve">noted that the </w:t>
            </w:r>
            <w:r w:rsidR="00292DA3" w:rsidRPr="00292DA3">
              <w:rPr>
                <w:rFonts w:cs="Calibri"/>
              </w:rPr>
              <w:t>document outlining the further analysis of the survey results had now been finalised and approved.  Members agreed that it should not be published, however, until advice had been sought from the public relations company about the best way to disseminate the main points and key messages arising from the responses received</w:t>
            </w:r>
            <w:r w:rsidR="00292DA3">
              <w:rPr>
                <w:rFonts w:cs="Calibri"/>
              </w:rPr>
              <w:t>.</w:t>
            </w:r>
          </w:p>
          <w:p w14:paraId="65FA738B" w14:textId="542F8ECF" w:rsidR="00CA7C46" w:rsidRDefault="00CA7C46" w:rsidP="00E877CA">
            <w:pPr>
              <w:spacing w:after="0" w:line="240" w:lineRule="auto"/>
              <w:rPr>
                <w:rFonts w:cs="Calibri"/>
              </w:rPr>
            </w:pPr>
          </w:p>
          <w:p w14:paraId="3F8689F2" w14:textId="0B2C4127" w:rsidR="00CA7C46" w:rsidRPr="00CA7C46" w:rsidRDefault="00CA7C46" w:rsidP="00CA7C46">
            <w:pPr>
              <w:pStyle w:val="ListParagraph"/>
              <w:numPr>
                <w:ilvl w:val="0"/>
                <w:numId w:val="12"/>
              </w:numPr>
              <w:spacing w:after="0" w:line="240" w:lineRule="auto"/>
              <w:ind w:left="504" w:hanging="504"/>
              <w:rPr>
                <w:rFonts w:cs="Calibri"/>
                <w:b/>
              </w:rPr>
            </w:pPr>
            <w:r w:rsidRPr="00CA7C46">
              <w:rPr>
                <w:rFonts w:cs="Calibri"/>
                <w:b/>
              </w:rPr>
              <w:t>Requests for Training from Individual Councils and Devolved Public Bodies</w:t>
            </w:r>
          </w:p>
          <w:p w14:paraId="2362668E" w14:textId="7141BA1E" w:rsidR="00CA7C46" w:rsidRDefault="00CA7C46" w:rsidP="00F422FC">
            <w:pPr>
              <w:spacing w:after="0" w:line="240" w:lineRule="auto"/>
              <w:rPr>
                <w:rFonts w:cs="Calibri"/>
              </w:rPr>
            </w:pPr>
            <w:r>
              <w:rPr>
                <w:rFonts w:cs="Calibri"/>
              </w:rPr>
              <w:t>Members noted that a number of requests for the Standards Commis</w:t>
            </w:r>
            <w:r w:rsidR="008439C4">
              <w:rPr>
                <w:rFonts w:cs="Calibri"/>
              </w:rPr>
              <w:t>si</w:t>
            </w:r>
            <w:r>
              <w:rPr>
                <w:rFonts w:cs="Calibri"/>
              </w:rPr>
              <w:t>on to provide traini</w:t>
            </w:r>
            <w:r w:rsidR="008439C4">
              <w:rPr>
                <w:rFonts w:cs="Calibri"/>
              </w:rPr>
              <w:t>ng o</w:t>
            </w:r>
            <w:r>
              <w:rPr>
                <w:rFonts w:cs="Calibri"/>
              </w:rPr>
              <w:t>n the Codes of Conduct had been rece</w:t>
            </w:r>
            <w:r w:rsidR="008439C4">
              <w:rPr>
                <w:rFonts w:cs="Calibri"/>
              </w:rPr>
              <w:t>iv</w:t>
            </w:r>
            <w:r>
              <w:rPr>
                <w:rFonts w:cs="Calibri"/>
              </w:rPr>
              <w:t>ed from</w:t>
            </w:r>
            <w:r w:rsidR="008439C4">
              <w:t xml:space="preserve"> </w:t>
            </w:r>
            <w:r w:rsidR="008439C4">
              <w:rPr>
                <w:rFonts w:cs="Calibri"/>
              </w:rPr>
              <w:t>a number of in</w:t>
            </w:r>
            <w:r w:rsidR="008439C4" w:rsidRPr="008439C4">
              <w:rPr>
                <w:rFonts w:cs="Calibri"/>
              </w:rPr>
              <w:t>dividual Councils and Devolved Public Bodies</w:t>
            </w:r>
            <w:r w:rsidR="008439C4">
              <w:rPr>
                <w:rFonts w:cs="Calibri"/>
              </w:rPr>
              <w:t xml:space="preserve">.  Following discussions with the Convener, the Executive Director had advised that the Standards Commission did not have the resources </w:t>
            </w:r>
            <w:r w:rsidR="008F16F0">
              <w:rPr>
                <w:rFonts w:cs="Calibri"/>
              </w:rPr>
              <w:t>to</w:t>
            </w:r>
            <w:r w:rsidR="008439C4">
              <w:rPr>
                <w:rFonts w:cs="Calibri"/>
              </w:rPr>
              <w:t xml:space="preserve"> support individual training events but </w:t>
            </w:r>
            <w:r w:rsidR="008F16F0">
              <w:rPr>
                <w:rFonts w:cs="Calibri"/>
              </w:rPr>
              <w:t>i</w:t>
            </w:r>
            <w:r w:rsidR="008439C4">
              <w:rPr>
                <w:rFonts w:cs="Calibri"/>
              </w:rPr>
              <w:t xml:space="preserve">ntended </w:t>
            </w:r>
            <w:r w:rsidR="008F16F0">
              <w:rPr>
                <w:rFonts w:cs="Calibri"/>
              </w:rPr>
              <w:t>to</w:t>
            </w:r>
            <w:r w:rsidR="008439C4">
              <w:rPr>
                <w:rFonts w:cs="Calibri"/>
              </w:rPr>
              <w:t xml:space="preserve"> continue to </w:t>
            </w:r>
            <w:r w:rsidR="008F16F0">
              <w:rPr>
                <w:rFonts w:cs="Calibri"/>
              </w:rPr>
              <w:t>run</w:t>
            </w:r>
            <w:r w:rsidR="008439C4">
              <w:rPr>
                <w:rFonts w:cs="Calibri"/>
              </w:rPr>
              <w:t xml:space="preserve"> two regional training events a year for councillors </w:t>
            </w:r>
            <w:r w:rsidR="008F16F0">
              <w:rPr>
                <w:rFonts w:cs="Calibri"/>
              </w:rPr>
              <w:t xml:space="preserve">and </w:t>
            </w:r>
            <w:r w:rsidR="008F16F0" w:rsidRPr="008F16F0">
              <w:rPr>
                <w:rFonts w:cs="Calibri"/>
                <w:i/>
              </w:rPr>
              <w:t>ad hoc</w:t>
            </w:r>
            <w:r w:rsidR="008F16F0">
              <w:rPr>
                <w:rFonts w:cs="Calibri"/>
              </w:rPr>
              <w:t xml:space="preserve"> sectoral training events for </w:t>
            </w:r>
            <w:r w:rsidR="008F16F0">
              <w:t xml:space="preserve">Members of </w:t>
            </w:r>
            <w:r w:rsidR="008F16F0" w:rsidRPr="008F16F0">
              <w:rPr>
                <w:rFonts w:cs="Calibri"/>
              </w:rPr>
              <w:t>Devolved Public Bodies</w:t>
            </w:r>
          </w:p>
          <w:p w14:paraId="0A05934E" w14:textId="77777777" w:rsidR="00CA7C46" w:rsidRDefault="00CA7C46" w:rsidP="00F422FC">
            <w:pPr>
              <w:spacing w:after="0" w:line="240" w:lineRule="auto"/>
              <w:rPr>
                <w:rFonts w:cs="Calibri"/>
              </w:rPr>
            </w:pPr>
          </w:p>
          <w:p w14:paraId="627B4097" w14:textId="6028D715" w:rsidR="00F422FC" w:rsidRPr="008439C4" w:rsidRDefault="00CA7C46" w:rsidP="00CA7C46">
            <w:pPr>
              <w:pStyle w:val="ListParagraph"/>
              <w:numPr>
                <w:ilvl w:val="0"/>
                <w:numId w:val="12"/>
              </w:numPr>
              <w:spacing w:after="0" w:line="240" w:lineRule="auto"/>
              <w:ind w:left="504" w:hanging="504"/>
              <w:rPr>
                <w:rFonts w:cs="Calibri"/>
                <w:b/>
              </w:rPr>
            </w:pPr>
            <w:r w:rsidRPr="008439C4">
              <w:rPr>
                <w:rFonts w:cs="Calibri"/>
                <w:b/>
              </w:rPr>
              <w:t xml:space="preserve">Commissioner for Ethical Standards in Public Life in Scotland </w:t>
            </w:r>
          </w:p>
          <w:p w14:paraId="685D3E90" w14:textId="57AADC7E" w:rsidR="00EA6AC2" w:rsidRDefault="00CA7C46" w:rsidP="00931EBA">
            <w:pPr>
              <w:spacing w:after="0" w:line="240" w:lineRule="auto"/>
              <w:rPr>
                <w:rFonts w:cs="Calibri"/>
              </w:rPr>
            </w:pPr>
            <w:r>
              <w:rPr>
                <w:rFonts w:cs="Calibri"/>
              </w:rPr>
              <w:t xml:space="preserve">Members noted that the </w:t>
            </w:r>
            <w:r w:rsidRPr="00CA7C46">
              <w:rPr>
                <w:rFonts w:cs="Calibri"/>
              </w:rPr>
              <w:t>Commissioner for Ethical Standards in Public Life in Scotland</w:t>
            </w:r>
            <w:r>
              <w:rPr>
                <w:rFonts w:cs="Calibri"/>
              </w:rPr>
              <w:t xml:space="preserve"> had changed his branding and now referred to himself in the abbreviated form as the ‘Ethical Standards Commissioner’.  Members expressed the hope that this might result in the</w:t>
            </w:r>
            <w:r w:rsidR="00850793">
              <w:rPr>
                <w:rFonts w:cs="Calibri"/>
              </w:rPr>
              <w:t>r</w:t>
            </w:r>
            <w:r>
              <w:rPr>
                <w:rFonts w:cs="Calibri"/>
              </w:rPr>
              <w:t>e being less confusion between his role and that of the Standards Commission</w:t>
            </w:r>
            <w:r w:rsidR="0059466C">
              <w:rPr>
                <w:rFonts w:cs="Calibri"/>
              </w:rPr>
              <w:t>,</w:t>
            </w:r>
            <w:r w:rsidR="008439C4">
              <w:rPr>
                <w:rFonts w:cs="Calibri"/>
              </w:rPr>
              <w:t xml:space="preserve"> and asked that</w:t>
            </w:r>
            <w:r>
              <w:rPr>
                <w:rFonts w:cs="Calibri"/>
              </w:rPr>
              <w:t xml:space="preserve"> the Executive Team </w:t>
            </w:r>
            <w:r w:rsidR="008439C4">
              <w:rPr>
                <w:rFonts w:cs="Calibri"/>
              </w:rPr>
              <w:t>use the new abbreviated title in any publicly available documents and correspondence.</w:t>
            </w:r>
          </w:p>
          <w:p w14:paraId="3F911A06" w14:textId="48907174" w:rsidR="00CA7C46" w:rsidRPr="003849D9" w:rsidRDefault="00CA7C46" w:rsidP="00931EBA">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261DED6B" w14:textId="3019B62B" w:rsidR="002D3266" w:rsidRDefault="002D3266" w:rsidP="00ED5BF7">
            <w:pPr>
              <w:spacing w:after="0" w:line="240" w:lineRule="auto"/>
              <w:rPr>
                <w:rFonts w:cs="Calibri"/>
                <w:b/>
              </w:rPr>
            </w:pPr>
          </w:p>
          <w:p w14:paraId="656E5AB3" w14:textId="2AC6B0C1" w:rsidR="00CA7C46" w:rsidRDefault="00CA7C46" w:rsidP="00ED5BF7">
            <w:pPr>
              <w:spacing w:after="0" w:line="240" w:lineRule="auto"/>
              <w:rPr>
                <w:rFonts w:cs="Calibri"/>
                <w:b/>
              </w:rPr>
            </w:pPr>
          </w:p>
          <w:p w14:paraId="2377A71E" w14:textId="4052FCEB" w:rsidR="0059466C" w:rsidRDefault="0059466C" w:rsidP="00ED5BF7">
            <w:pPr>
              <w:spacing w:after="0" w:line="240" w:lineRule="auto"/>
              <w:rPr>
                <w:rFonts w:cs="Calibri"/>
                <w:b/>
              </w:rPr>
            </w:pPr>
          </w:p>
          <w:p w14:paraId="4ABDA71A" w14:textId="77777777" w:rsidR="0059466C" w:rsidRDefault="0059466C" w:rsidP="00ED5BF7">
            <w:pPr>
              <w:spacing w:after="0" w:line="240" w:lineRule="auto"/>
              <w:rPr>
                <w:rFonts w:cs="Calibri"/>
                <w:b/>
              </w:rPr>
            </w:pPr>
          </w:p>
          <w:p w14:paraId="03629750" w14:textId="77777777" w:rsidR="00931EBA" w:rsidRDefault="00931EBA" w:rsidP="00931EBA">
            <w:pPr>
              <w:spacing w:after="0" w:line="240" w:lineRule="auto"/>
              <w:rPr>
                <w:rFonts w:cs="Calibri"/>
                <w:b/>
              </w:rPr>
            </w:pPr>
            <w:r>
              <w:rPr>
                <w:rFonts w:cs="Calibri"/>
                <w:b/>
              </w:rPr>
              <w:t>Executive Director</w:t>
            </w:r>
          </w:p>
          <w:p w14:paraId="6E16308A" w14:textId="559A5F04" w:rsidR="002D3266" w:rsidRDefault="002D3266" w:rsidP="00ED5BF7">
            <w:pPr>
              <w:spacing w:after="0" w:line="240" w:lineRule="auto"/>
              <w:rPr>
                <w:rFonts w:cs="Calibri"/>
                <w:b/>
              </w:rPr>
            </w:pPr>
          </w:p>
          <w:p w14:paraId="1E3BFC10" w14:textId="0906AB89" w:rsidR="00CA7C46" w:rsidRDefault="00CA7C46" w:rsidP="00ED5BF7">
            <w:pPr>
              <w:spacing w:after="0" w:line="240" w:lineRule="auto"/>
              <w:rPr>
                <w:rFonts w:cs="Calibri"/>
                <w:b/>
              </w:rPr>
            </w:pPr>
          </w:p>
          <w:p w14:paraId="5FEF5440" w14:textId="7B7FFEE7" w:rsidR="00CA7C46" w:rsidRDefault="00CA7C46" w:rsidP="00ED5BF7">
            <w:pPr>
              <w:spacing w:after="0" w:line="240" w:lineRule="auto"/>
              <w:rPr>
                <w:rFonts w:cs="Calibri"/>
                <w:b/>
              </w:rPr>
            </w:pPr>
          </w:p>
          <w:p w14:paraId="3BE12658" w14:textId="2974FAA1" w:rsidR="00CA7C46" w:rsidRDefault="00CA7C46" w:rsidP="00ED5BF7">
            <w:pPr>
              <w:spacing w:after="0" w:line="240" w:lineRule="auto"/>
              <w:rPr>
                <w:rFonts w:cs="Calibri"/>
                <w:b/>
              </w:rPr>
            </w:pPr>
          </w:p>
          <w:p w14:paraId="07BFAC90" w14:textId="77777777" w:rsidR="00292DA3" w:rsidRDefault="00292DA3" w:rsidP="00ED5BF7">
            <w:pPr>
              <w:spacing w:after="0" w:line="240" w:lineRule="auto"/>
              <w:rPr>
                <w:rFonts w:cs="Calibri"/>
                <w:b/>
              </w:rPr>
            </w:pPr>
          </w:p>
          <w:p w14:paraId="30C8546B" w14:textId="13569AB5" w:rsidR="002D3266" w:rsidRDefault="002D3266" w:rsidP="00ED5BF7">
            <w:pPr>
              <w:spacing w:after="0" w:line="240" w:lineRule="auto"/>
              <w:rPr>
                <w:rFonts w:cs="Calibri"/>
                <w:b/>
              </w:rPr>
            </w:pPr>
            <w:r>
              <w:rPr>
                <w:rFonts w:cs="Calibri"/>
                <w:b/>
              </w:rPr>
              <w:t>Executive Team</w:t>
            </w:r>
          </w:p>
          <w:p w14:paraId="7C79E00D" w14:textId="185F2694" w:rsidR="00931EBA" w:rsidRDefault="00931EBA" w:rsidP="00ED5BF7">
            <w:pPr>
              <w:spacing w:after="0" w:line="240" w:lineRule="auto"/>
              <w:rPr>
                <w:rFonts w:cs="Calibri"/>
                <w:b/>
              </w:rPr>
            </w:pPr>
          </w:p>
          <w:p w14:paraId="1557CD37" w14:textId="77777777" w:rsidR="00CA7C46" w:rsidRDefault="00CA7C46" w:rsidP="00ED5BF7">
            <w:pPr>
              <w:spacing w:after="0" w:line="240" w:lineRule="auto"/>
              <w:rPr>
                <w:rFonts w:cs="Calibri"/>
                <w:b/>
              </w:rPr>
            </w:pPr>
          </w:p>
          <w:p w14:paraId="1C263CA2" w14:textId="77777777" w:rsidR="00F34CFF" w:rsidRDefault="00F34CFF" w:rsidP="006A022E">
            <w:pPr>
              <w:spacing w:after="0" w:line="240" w:lineRule="auto"/>
              <w:rPr>
                <w:rFonts w:cs="Calibri"/>
                <w:b/>
              </w:rPr>
            </w:pPr>
          </w:p>
          <w:p w14:paraId="3B1398F9" w14:textId="7853808F" w:rsidR="002C118B" w:rsidRPr="002F277F" w:rsidRDefault="002C118B" w:rsidP="006A022E">
            <w:pPr>
              <w:spacing w:after="0" w:line="240" w:lineRule="auto"/>
              <w:rPr>
                <w:rFonts w:cs="Calibri"/>
                <w:b/>
              </w:rPr>
            </w:pPr>
          </w:p>
        </w:tc>
      </w:tr>
      <w:tr w:rsidR="00ED5BF7" w:rsidRPr="009E60F4" w14:paraId="4E17AC97"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4FC3CFFA" w:rsidR="00ED5BF7" w:rsidRPr="005340D7" w:rsidRDefault="00ED5BF7"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14CEE48A" w14:textId="50139EA5" w:rsidR="006A022E" w:rsidRDefault="008F16F0" w:rsidP="006A022E">
            <w:pPr>
              <w:spacing w:after="0" w:line="240" w:lineRule="auto"/>
              <w:rPr>
                <w:rFonts w:cs="Calibri"/>
                <w:b/>
              </w:rPr>
            </w:pPr>
            <w:r w:rsidRPr="008F16F0">
              <w:rPr>
                <w:rFonts w:cs="Calibri"/>
                <w:b/>
              </w:rPr>
              <w:t>QUARTER 3</w:t>
            </w:r>
            <w:r>
              <w:rPr>
                <w:rFonts w:cs="Calibri"/>
                <w:b/>
              </w:rPr>
              <w:t xml:space="preserve"> </w:t>
            </w:r>
            <w:r w:rsidR="00931EBA">
              <w:rPr>
                <w:rFonts w:cs="Calibri"/>
                <w:b/>
              </w:rPr>
              <w:t>BUSINE</w:t>
            </w:r>
            <w:r>
              <w:rPr>
                <w:rFonts w:cs="Calibri"/>
                <w:b/>
              </w:rPr>
              <w:t>S</w:t>
            </w:r>
            <w:r w:rsidR="00931EBA">
              <w:rPr>
                <w:rFonts w:cs="Calibri"/>
                <w:b/>
              </w:rPr>
              <w:t>S PLAN 2018/19</w:t>
            </w:r>
            <w:r>
              <w:rPr>
                <w:rFonts w:cs="Calibri"/>
                <w:b/>
              </w:rPr>
              <w:t xml:space="preserve"> </w:t>
            </w:r>
            <w:r w:rsidR="00931EBA">
              <w:rPr>
                <w:rFonts w:cs="Calibri"/>
                <w:b/>
              </w:rPr>
              <w:t>REPORT</w:t>
            </w:r>
          </w:p>
          <w:p w14:paraId="6A7D8CCB" w14:textId="6157FD48" w:rsidR="0012109A" w:rsidRPr="0012109A" w:rsidRDefault="008F16F0" w:rsidP="006A022E">
            <w:pPr>
              <w:spacing w:after="0" w:line="240" w:lineRule="auto"/>
              <w:rPr>
                <w:rFonts w:cs="Calibri"/>
              </w:rPr>
            </w:pPr>
            <w:r w:rsidRPr="008F16F0">
              <w:rPr>
                <w:rFonts w:cs="Calibri"/>
              </w:rPr>
              <w:t>Members reviewed the report on progress made in quarter three against the 201</w:t>
            </w:r>
            <w:r>
              <w:rPr>
                <w:rFonts w:cs="Calibri"/>
              </w:rPr>
              <w:t>8</w:t>
            </w:r>
            <w:r w:rsidRPr="008F16F0">
              <w:rPr>
                <w:rFonts w:cs="Calibri"/>
              </w:rPr>
              <w:t xml:space="preserve"> / 201</w:t>
            </w:r>
            <w:r>
              <w:rPr>
                <w:rFonts w:cs="Calibri"/>
              </w:rPr>
              <w:t>9</w:t>
            </w:r>
            <w:r w:rsidRPr="008F16F0">
              <w:rPr>
                <w:rFonts w:cs="Calibri"/>
              </w:rPr>
              <w:t xml:space="preserve"> Business Plan.  Members were pleased that no slippage</w:t>
            </w:r>
            <w:r w:rsidR="00292DA3">
              <w:rPr>
                <w:rFonts w:cs="Calibri"/>
              </w:rPr>
              <w:t>s of any significance, that were within the control of the Standards Commission,</w:t>
            </w:r>
            <w:r w:rsidRPr="008F16F0">
              <w:rPr>
                <w:rFonts w:cs="Calibri"/>
              </w:rPr>
              <w:t xml:space="preserve"> had been recorded in respect of previously identified activities.</w:t>
            </w:r>
          </w:p>
          <w:p w14:paraId="7986FD55" w14:textId="5D2490A2" w:rsidR="00B3493D" w:rsidRPr="00251270" w:rsidRDefault="00B3493D" w:rsidP="00BD38BC">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46588CA0" w14:textId="38AD1B44" w:rsidR="00686F47" w:rsidRPr="009E60F4" w:rsidRDefault="00686F47" w:rsidP="00E76566">
            <w:pPr>
              <w:spacing w:after="0" w:line="240" w:lineRule="auto"/>
              <w:rPr>
                <w:rFonts w:cs="Calibri"/>
                <w:b/>
              </w:rPr>
            </w:pPr>
          </w:p>
        </w:tc>
      </w:tr>
      <w:tr w:rsidR="00ED5BF7" w:rsidRPr="009E60F4" w14:paraId="57E1F8F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FAB38CA" w14:textId="61AD237E" w:rsidR="00ED5BF7" w:rsidRPr="00B3493D" w:rsidRDefault="00ED5BF7"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1664CA5A" w14:textId="09D231B4" w:rsidR="006A022E" w:rsidRDefault="00931EBA" w:rsidP="006A022E">
            <w:pPr>
              <w:spacing w:after="0" w:line="240" w:lineRule="auto"/>
              <w:rPr>
                <w:rFonts w:cs="Calibri"/>
                <w:b/>
              </w:rPr>
            </w:pPr>
            <w:r>
              <w:rPr>
                <w:rFonts w:cs="Calibri"/>
                <w:b/>
              </w:rPr>
              <w:t>QUARTER 3 BUDGET v EXPENDITURE REPORT</w:t>
            </w:r>
          </w:p>
          <w:p w14:paraId="2CF27556" w14:textId="50D9AB35" w:rsidR="0012109A" w:rsidRDefault="008F16F0" w:rsidP="008F16F0">
            <w:pPr>
              <w:spacing w:after="0" w:line="240" w:lineRule="auto"/>
              <w:rPr>
                <w:rFonts w:cs="Calibri"/>
              </w:rPr>
            </w:pPr>
            <w:r w:rsidRPr="008F16F0">
              <w:rPr>
                <w:rFonts w:cs="Calibri"/>
              </w:rPr>
              <w:t xml:space="preserve">Members noted the Report, which detailed expenditure incurred </w:t>
            </w:r>
            <w:r>
              <w:rPr>
                <w:rFonts w:cs="Calibri"/>
              </w:rPr>
              <w:t>t</w:t>
            </w:r>
            <w:r w:rsidRPr="008F16F0">
              <w:rPr>
                <w:rFonts w:cs="Calibri"/>
              </w:rPr>
              <w:t>o 31 December 201</w:t>
            </w:r>
            <w:r>
              <w:rPr>
                <w:rFonts w:cs="Calibri"/>
              </w:rPr>
              <w:t>8</w:t>
            </w:r>
            <w:r w:rsidRPr="008F16F0">
              <w:rPr>
                <w:rFonts w:cs="Calibri"/>
              </w:rPr>
              <w:t xml:space="preserve"> and projected expenditure against budget to the year end.  Members noted that the Executive Team were confident that it was unlikely that there would be any other significant under or overspend against the </w:t>
            </w:r>
            <w:r w:rsidR="00292DA3">
              <w:rPr>
                <w:rFonts w:cs="Calibri"/>
              </w:rPr>
              <w:t xml:space="preserve">overall </w:t>
            </w:r>
            <w:r w:rsidRPr="008F16F0">
              <w:rPr>
                <w:rFonts w:cs="Calibri"/>
              </w:rPr>
              <w:t>budget.</w:t>
            </w:r>
          </w:p>
          <w:p w14:paraId="06AE738E" w14:textId="2D7CB7F0" w:rsidR="00B3493D" w:rsidRPr="0008242A" w:rsidRDefault="00B3493D" w:rsidP="00931EBA">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6D93BDB7" w14:textId="11A2AFBF" w:rsidR="00292DA3" w:rsidRDefault="00292DA3" w:rsidP="00E76566">
            <w:pPr>
              <w:spacing w:after="0" w:line="240" w:lineRule="auto"/>
              <w:rPr>
                <w:rFonts w:cs="Calibri"/>
                <w:b/>
              </w:rPr>
            </w:pPr>
          </w:p>
        </w:tc>
      </w:tr>
      <w:tr w:rsidR="0012109A" w:rsidRPr="009E60F4" w14:paraId="0FFDDB83"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55B019CB" w14:textId="77777777" w:rsidR="0012109A" w:rsidRPr="00B3493D" w:rsidRDefault="0012109A"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2E353A4" w14:textId="77777777" w:rsidR="0012109A" w:rsidRDefault="0012109A" w:rsidP="00B3493D">
            <w:pPr>
              <w:spacing w:after="0" w:line="240" w:lineRule="auto"/>
              <w:rPr>
                <w:rFonts w:cs="Calibri"/>
                <w:b/>
              </w:rPr>
            </w:pPr>
            <w:r>
              <w:rPr>
                <w:rFonts w:cs="Calibri"/>
                <w:b/>
              </w:rPr>
              <w:t>AUDIT AND RISK COMMITTEE – UPDATE FROM MEETING 21 JANUARY 2019</w:t>
            </w:r>
          </w:p>
          <w:p w14:paraId="7BAC4F14" w14:textId="4BB94999" w:rsidR="008F16F0" w:rsidRPr="008F16F0" w:rsidRDefault="008F16F0" w:rsidP="008F16F0">
            <w:pPr>
              <w:spacing w:after="0" w:line="240" w:lineRule="auto"/>
              <w:rPr>
                <w:rFonts w:cs="Calibri"/>
              </w:rPr>
            </w:pPr>
            <w:r w:rsidRPr="008F16F0">
              <w:rPr>
                <w:rFonts w:cs="Calibri"/>
              </w:rPr>
              <w:t>Members noted the</w:t>
            </w:r>
            <w:r>
              <w:rPr>
                <w:rFonts w:cs="Calibri"/>
              </w:rPr>
              <w:t xml:space="preserve"> minutes and the</w:t>
            </w:r>
            <w:r w:rsidRPr="008F16F0">
              <w:rPr>
                <w:rFonts w:cs="Calibri"/>
              </w:rPr>
              <w:t xml:space="preserve"> verbal report </w:t>
            </w:r>
            <w:r>
              <w:rPr>
                <w:rFonts w:cs="Calibri"/>
              </w:rPr>
              <w:t>provided</w:t>
            </w:r>
            <w:r w:rsidRPr="008F16F0">
              <w:rPr>
                <w:rFonts w:cs="Calibri"/>
              </w:rPr>
              <w:t xml:space="preserve"> by the Chair of the Audit &amp; Risk Committee, Mr McCormick, of </w:t>
            </w:r>
            <w:r>
              <w:rPr>
                <w:rFonts w:cs="Calibri"/>
              </w:rPr>
              <w:t>the</w:t>
            </w:r>
            <w:r w:rsidRPr="008F16F0">
              <w:rPr>
                <w:rFonts w:cs="Calibri"/>
              </w:rPr>
              <w:t xml:space="preserve"> meeting on 2</w:t>
            </w:r>
            <w:r>
              <w:rPr>
                <w:rFonts w:cs="Calibri"/>
              </w:rPr>
              <w:t>1</w:t>
            </w:r>
            <w:r w:rsidRPr="008F16F0">
              <w:rPr>
                <w:rFonts w:cs="Calibri"/>
              </w:rPr>
              <w:t xml:space="preserve"> January 201</w:t>
            </w:r>
            <w:r>
              <w:rPr>
                <w:rFonts w:cs="Calibri"/>
              </w:rPr>
              <w:t>9</w:t>
            </w:r>
            <w:r w:rsidRPr="008F16F0">
              <w:rPr>
                <w:rFonts w:cs="Calibri"/>
              </w:rPr>
              <w:t xml:space="preserve">.  Members </w:t>
            </w:r>
            <w:r>
              <w:rPr>
                <w:rFonts w:cs="Calibri"/>
              </w:rPr>
              <w:t xml:space="preserve">noted that </w:t>
            </w:r>
            <w:r w:rsidRPr="008F16F0">
              <w:rPr>
                <w:rFonts w:cs="Calibri"/>
              </w:rPr>
              <w:t>the Internal Auditor</w:t>
            </w:r>
            <w:r>
              <w:rPr>
                <w:rFonts w:cs="Calibri"/>
              </w:rPr>
              <w:t xml:space="preserve"> had not yet undertaken his proposed</w:t>
            </w:r>
            <w:r w:rsidRPr="008F16F0">
              <w:rPr>
                <w:rFonts w:cs="Calibri"/>
              </w:rPr>
              <w:t xml:space="preserve"> review</w:t>
            </w:r>
            <w:r>
              <w:rPr>
                <w:rFonts w:cs="Calibri"/>
              </w:rPr>
              <w:t>,</w:t>
            </w:r>
            <w:r>
              <w:t xml:space="preserve"> </w:t>
            </w:r>
            <w:r w:rsidRPr="008F16F0">
              <w:rPr>
                <w:rFonts w:cs="Calibri"/>
              </w:rPr>
              <w:t>as part of the 2017/18 internal audit</w:t>
            </w:r>
            <w:r>
              <w:rPr>
                <w:rFonts w:cs="Calibri"/>
              </w:rPr>
              <w:t>,</w:t>
            </w:r>
            <w:r w:rsidRPr="008F16F0">
              <w:rPr>
                <w:rFonts w:cs="Calibri"/>
              </w:rPr>
              <w:t xml:space="preserve"> </w:t>
            </w:r>
            <w:r>
              <w:rPr>
                <w:rFonts w:cs="Calibri"/>
              </w:rPr>
              <w:t xml:space="preserve">of </w:t>
            </w:r>
            <w:r w:rsidRPr="008F16F0">
              <w:rPr>
                <w:rFonts w:cs="Calibri"/>
              </w:rPr>
              <w:t>the Standards Commission’s preparedness for the implementation of the GDPR</w:t>
            </w:r>
            <w:r>
              <w:rPr>
                <w:rFonts w:cs="Calibri"/>
              </w:rPr>
              <w:t xml:space="preserve">.  Members noted that this was because the Internal </w:t>
            </w:r>
            <w:r>
              <w:rPr>
                <w:rFonts w:cs="Calibri"/>
              </w:rPr>
              <w:lastRenderedPageBreak/>
              <w:t>Auditor</w:t>
            </w:r>
            <w:r w:rsidRPr="008F16F0">
              <w:rPr>
                <w:rFonts w:cs="Calibri"/>
              </w:rPr>
              <w:t xml:space="preserve"> was due to undertake a similar audit of the SPCB’s preparedness in March 2019 and, as the Standards Commission had a shared service agreement with the SPCB in respect of the provision of data protection officer services, it made sense to do both reviews concurrently.  </w:t>
            </w:r>
            <w:r>
              <w:rPr>
                <w:rFonts w:cs="Calibri"/>
              </w:rPr>
              <w:t>Members indicated they had no difficulty</w:t>
            </w:r>
            <w:r w:rsidRPr="008F16F0">
              <w:rPr>
                <w:rFonts w:cs="Calibri"/>
              </w:rPr>
              <w:t xml:space="preserve"> with this approach.</w:t>
            </w:r>
            <w:r w:rsidR="00292DA3">
              <w:rPr>
                <w:rFonts w:cs="Calibri"/>
              </w:rPr>
              <w:t xml:space="preserve">  Members further noted that the internal auditor had agreed to check whether </w:t>
            </w:r>
            <w:r w:rsidR="00292DA3" w:rsidRPr="00292DA3">
              <w:rPr>
                <w:rFonts w:cs="Calibri"/>
              </w:rPr>
              <w:t xml:space="preserve">the </w:t>
            </w:r>
            <w:r w:rsidR="00292DA3">
              <w:rPr>
                <w:rFonts w:cs="Calibri"/>
              </w:rPr>
              <w:t xml:space="preserve">SPCB’s </w:t>
            </w:r>
            <w:r w:rsidR="00292DA3" w:rsidRPr="00292DA3">
              <w:rPr>
                <w:rFonts w:cs="Calibri"/>
              </w:rPr>
              <w:t>online cyber security training package</w:t>
            </w:r>
            <w:r w:rsidR="00292DA3">
              <w:rPr>
                <w:rFonts w:cs="Calibri"/>
              </w:rPr>
              <w:t xml:space="preserve"> was still available and to revert</w:t>
            </w:r>
            <w:r w:rsidR="00292DA3" w:rsidRPr="00292DA3">
              <w:rPr>
                <w:rFonts w:cs="Calibri"/>
              </w:rPr>
              <w:t>.</w:t>
            </w:r>
            <w:r w:rsidR="00292DA3">
              <w:rPr>
                <w:rFonts w:cs="Calibri"/>
              </w:rPr>
              <w:t xml:space="preserve">  Members asked the Executive Team to circulate the training module if it was still available.</w:t>
            </w:r>
          </w:p>
          <w:p w14:paraId="1C62BD2F" w14:textId="77777777" w:rsidR="008F16F0" w:rsidRPr="008F16F0" w:rsidRDefault="008F16F0" w:rsidP="008F16F0">
            <w:pPr>
              <w:spacing w:after="0" w:line="240" w:lineRule="auto"/>
              <w:rPr>
                <w:rFonts w:cs="Calibri"/>
              </w:rPr>
            </w:pPr>
          </w:p>
          <w:p w14:paraId="7100BB7B" w14:textId="0DF8A78C" w:rsidR="008F16F0" w:rsidRDefault="008F16F0" w:rsidP="008F16F0">
            <w:pPr>
              <w:spacing w:after="0" w:line="240" w:lineRule="auto"/>
              <w:rPr>
                <w:rFonts w:cs="Calibri"/>
              </w:rPr>
            </w:pPr>
            <w:r w:rsidRPr="008F16F0">
              <w:rPr>
                <w:rFonts w:cs="Calibri"/>
              </w:rPr>
              <w:t>Members agreed the Audit Plan and fee as proposed by Audit Scotland</w:t>
            </w:r>
            <w:r>
              <w:rPr>
                <w:rFonts w:cs="Calibri"/>
              </w:rPr>
              <w:t xml:space="preserve"> for the 2018/19 audit</w:t>
            </w:r>
            <w:r w:rsidRPr="008F16F0">
              <w:rPr>
                <w:rFonts w:cs="Calibri"/>
              </w:rPr>
              <w:t xml:space="preserve">. </w:t>
            </w:r>
            <w:r>
              <w:t xml:space="preserve"> </w:t>
            </w:r>
          </w:p>
          <w:p w14:paraId="14B34C1C" w14:textId="77777777" w:rsidR="008F16F0" w:rsidRDefault="008F16F0" w:rsidP="008F16F0">
            <w:pPr>
              <w:spacing w:after="0" w:line="240" w:lineRule="auto"/>
              <w:rPr>
                <w:rFonts w:cs="Calibri"/>
              </w:rPr>
            </w:pPr>
          </w:p>
          <w:p w14:paraId="3CA0B34B" w14:textId="3001C3BE" w:rsidR="0012109A" w:rsidRPr="0012109A" w:rsidRDefault="008F16F0" w:rsidP="008F16F0">
            <w:pPr>
              <w:spacing w:after="0" w:line="240" w:lineRule="auto"/>
              <w:rPr>
                <w:rFonts w:cs="Calibri"/>
              </w:rPr>
            </w:pPr>
            <w:r w:rsidRPr="008F16F0">
              <w:rPr>
                <w:rFonts w:cs="Calibri"/>
              </w:rPr>
              <w:t xml:space="preserve">Members welcomed the proposal from the Internal Auditor to review the </w:t>
            </w:r>
            <w:r>
              <w:rPr>
                <w:rFonts w:cs="Calibri"/>
              </w:rPr>
              <w:t>procedures for and usage of the Standards Commission’s credit card</w:t>
            </w:r>
            <w:r w:rsidRPr="008F16F0">
              <w:rPr>
                <w:rFonts w:cs="Calibri"/>
              </w:rPr>
              <w:t xml:space="preserve"> as part of the 20</w:t>
            </w:r>
            <w:r>
              <w:rPr>
                <w:rFonts w:cs="Calibri"/>
              </w:rPr>
              <w:t xml:space="preserve">19 </w:t>
            </w:r>
            <w:r w:rsidRPr="008F16F0">
              <w:rPr>
                <w:rFonts w:cs="Calibri"/>
              </w:rPr>
              <w:t>/</w:t>
            </w:r>
            <w:r>
              <w:rPr>
                <w:rFonts w:cs="Calibri"/>
              </w:rPr>
              <w:t xml:space="preserve"> </w:t>
            </w:r>
            <w:r w:rsidRPr="008F16F0">
              <w:rPr>
                <w:rFonts w:cs="Calibri"/>
              </w:rPr>
              <w:t>2</w:t>
            </w:r>
            <w:r>
              <w:rPr>
                <w:rFonts w:cs="Calibri"/>
              </w:rPr>
              <w:t>020</w:t>
            </w:r>
            <w:r w:rsidRPr="008F16F0">
              <w:rPr>
                <w:rFonts w:cs="Calibri"/>
              </w:rPr>
              <w:t xml:space="preserve"> audit.</w:t>
            </w:r>
          </w:p>
          <w:p w14:paraId="4F7FFB54" w14:textId="77777777" w:rsidR="0012109A" w:rsidRPr="0012109A" w:rsidRDefault="0012109A" w:rsidP="00B3493D">
            <w:pPr>
              <w:spacing w:after="0" w:line="240" w:lineRule="auto"/>
              <w:rPr>
                <w:rFonts w:cs="Calibri"/>
              </w:rPr>
            </w:pPr>
          </w:p>
          <w:p w14:paraId="2CC9FC84" w14:textId="77777777" w:rsidR="008F16F0" w:rsidRDefault="008F16F0" w:rsidP="00292DA3">
            <w:pPr>
              <w:spacing w:after="0" w:line="240" w:lineRule="auto"/>
              <w:rPr>
                <w:rFonts w:cs="Calibri"/>
              </w:rPr>
            </w:pPr>
            <w:r w:rsidRPr="004D769F">
              <w:rPr>
                <w:rFonts w:cs="Calibri"/>
              </w:rPr>
              <w:t xml:space="preserve">Members reviewed the recommendations made by the Audit &amp; Risk Committee in respect of the Risk Register. </w:t>
            </w:r>
            <w:r w:rsidR="004D769F" w:rsidRPr="004D769F">
              <w:t xml:space="preserve"> Members agreed that the overall score for </w:t>
            </w:r>
            <w:r w:rsidR="004D769F" w:rsidRPr="004D769F">
              <w:rPr>
                <w:rFonts w:cs="Calibri"/>
              </w:rPr>
              <w:t xml:space="preserve">risk 6 (being the inability of the Standards Commission to deliver its business effectively due to it having insufficient Members to meet the quorum required for Hearings) should remain the same </w:t>
            </w:r>
            <w:proofErr w:type="gramStart"/>
            <w:r w:rsidR="004D769F" w:rsidRPr="004D769F">
              <w:rPr>
                <w:rFonts w:cs="Calibri"/>
              </w:rPr>
              <w:t>until such time as</w:t>
            </w:r>
            <w:proofErr w:type="gramEnd"/>
            <w:r w:rsidR="004D769F" w:rsidRPr="004D769F">
              <w:rPr>
                <w:rFonts w:cs="Calibri"/>
              </w:rPr>
              <w:t xml:space="preserve"> a new member was appointed and their availability and level of experience was known.  Members further agreed that the overall score for risk 7 (being the inability of the Standards Commission to deliver its business effectively </w:t>
            </w:r>
            <w:proofErr w:type="gramStart"/>
            <w:r w:rsidR="004D769F" w:rsidRPr="004D769F">
              <w:rPr>
                <w:rFonts w:cs="Calibri"/>
              </w:rPr>
              <w:t>as a result of</w:t>
            </w:r>
            <w:proofErr w:type="gramEnd"/>
            <w:r w:rsidR="004D769F" w:rsidRPr="004D769F">
              <w:rPr>
                <w:rFonts w:cs="Calibri"/>
              </w:rPr>
              <w:t xml:space="preserve"> a lack of executive / administrative support), should also remain the same as despite the controls and specific actions taken, the small number of staff employed meant that any turnover or unplanned absence would have a significant impact on the organisation in terms of a loss of knowledge or experience.  Members agreed, in respect of risk 9, that the completion and publication of the British Sign Language Plan and the work to ensure compliance with best practice cyber security and GDPR requirements meant that the probability score could be reduced.  As such, the overall risk score should be reduced accordingly.   </w:t>
            </w:r>
          </w:p>
          <w:p w14:paraId="5FDA5E1B" w14:textId="7DEDF481" w:rsidR="00DF1174" w:rsidRDefault="00DF1174" w:rsidP="00292DA3">
            <w:pPr>
              <w:spacing w:after="0" w:line="240" w:lineRule="auto"/>
              <w:rPr>
                <w:rFonts w:cs="Calibr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06FCAD24" w14:textId="10C7FACF" w:rsidR="0012109A" w:rsidRDefault="0012109A" w:rsidP="00784CC2">
            <w:pPr>
              <w:spacing w:after="0" w:line="240" w:lineRule="auto"/>
              <w:rPr>
                <w:rFonts w:cs="Calibri"/>
                <w:b/>
              </w:rPr>
            </w:pPr>
          </w:p>
          <w:p w14:paraId="62ED8E6B" w14:textId="4E7D9A0D" w:rsidR="004D769F" w:rsidRDefault="004D769F" w:rsidP="00784CC2">
            <w:pPr>
              <w:spacing w:after="0" w:line="240" w:lineRule="auto"/>
              <w:rPr>
                <w:rFonts w:cs="Calibri"/>
                <w:b/>
              </w:rPr>
            </w:pPr>
          </w:p>
          <w:p w14:paraId="438BD63D" w14:textId="2F0196FD" w:rsidR="004D769F" w:rsidRDefault="004D769F" w:rsidP="00784CC2">
            <w:pPr>
              <w:spacing w:after="0" w:line="240" w:lineRule="auto"/>
              <w:rPr>
                <w:rFonts w:cs="Calibri"/>
                <w:b/>
              </w:rPr>
            </w:pPr>
          </w:p>
          <w:p w14:paraId="6B0A3250" w14:textId="01390F11" w:rsidR="00292DA3" w:rsidRDefault="00292DA3" w:rsidP="00784CC2">
            <w:pPr>
              <w:spacing w:after="0" w:line="240" w:lineRule="auto"/>
              <w:rPr>
                <w:rFonts w:cs="Calibri"/>
                <w:b/>
              </w:rPr>
            </w:pPr>
          </w:p>
          <w:p w14:paraId="0503B727" w14:textId="7A95FA94" w:rsidR="00292DA3" w:rsidRDefault="00292DA3" w:rsidP="00784CC2">
            <w:pPr>
              <w:spacing w:after="0" w:line="240" w:lineRule="auto"/>
              <w:rPr>
                <w:rFonts w:cs="Calibri"/>
                <w:b/>
              </w:rPr>
            </w:pPr>
          </w:p>
          <w:p w14:paraId="66BAF9EE" w14:textId="2E130B49" w:rsidR="00292DA3" w:rsidRDefault="00292DA3" w:rsidP="00784CC2">
            <w:pPr>
              <w:spacing w:after="0" w:line="240" w:lineRule="auto"/>
              <w:rPr>
                <w:rFonts w:cs="Calibri"/>
                <w:b/>
              </w:rPr>
            </w:pPr>
          </w:p>
          <w:p w14:paraId="2BA4B19C" w14:textId="683E6916" w:rsidR="00292DA3" w:rsidRDefault="00292DA3" w:rsidP="00784CC2">
            <w:pPr>
              <w:spacing w:after="0" w:line="240" w:lineRule="auto"/>
              <w:rPr>
                <w:rFonts w:cs="Calibri"/>
                <w:b/>
              </w:rPr>
            </w:pPr>
          </w:p>
          <w:p w14:paraId="3D5272C5" w14:textId="1F09BA1F" w:rsidR="00292DA3" w:rsidRDefault="00292DA3" w:rsidP="00784CC2">
            <w:pPr>
              <w:spacing w:after="0" w:line="240" w:lineRule="auto"/>
              <w:rPr>
                <w:rFonts w:cs="Calibri"/>
                <w:b/>
              </w:rPr>
            </w:pPr>
          </w:p>
          <w:p w14:paraId="533606D6" w14:textId="5AB115D5" w:rsidR="00292DA3" w:rsidRDefault="00292DA3" w:rsidP="00784CC2">
            <w:pPr>
              <w:spacing w:after="0" w:line="240" w:lineRule="auto"/>
              <w:rPr>
                <w:rFonts w:cs="Calibri"/>
                <w:b/>
              </w:rPr>
            </w:pPr>
          </w:p>
          <w:p w14:paraId="569F8144" w14:textId="402EF554" w:rsidR="00292DA3" w:rsidRDefault="00292DA3" w:rsidP="00784CC2">
            <w:pPr>
              <w:spacing w:after="0" w:line="240" w:lineRule="auto"/>
              <w:rPr>
                <w:rFonts w:cs="Calibri"/>
                <w:b/>
              </w:rPr>
            </w:pPr>
          </w:p>
          <w:p w14:paraId="7666FE9F" w14:textId="1EC020DC" w:rsidR="00292DA3" w:rsidRDefault="00292DA3" w:rsidP="00784CC2">
            <w:pPr>
              <w:spacing w:after="0" w:line="240" w:lineRule="auto"/>
              <w:rPr>
                <w:rFonts w:cs="Calibri"/>
                <w:b/>
              </w:rPr>
            </w:pPr>
            <w:r>
              <w:rPr>
                <w:rFonts w:cs="Calibri"/>
                <w:b/>
              </w:rPr>
              <w:t>Executive Team</w:t>
            </w:r>
          </w:p>
          <w:p w14:paraId="26983163" w14:textId="670364AD" w:rsidR="004D769F" w:rsidRDefault="004D769F" w:rsidP="00784CC2">
            <w:pPr>
              <w:spacing w:after="0" w:line="240" w:lineRule="auto"/>
              <w:rPr>
                <w:rFonts w:cs="Calibri"/>
                <w:b/>
              </w:rPr>
            </w:pPr>
          </w:p>
          <w:p w14:paraId="083A4181" w14:textId="3DEFA09E" w:rsidR="00292DA3" w:rsidRDefault="00292DA3" w:rsidP="00784CC2">
            <w:pPr>
              <w:spacing w:after="0" w:line="240" w:lineRule="auto"/>
              <w:rPr>
                <w:rFonts w:cs="Calibri"/>
                <w:b/>
              </w:rPr>
            </w:pPr>
          </w:p>
          <w:p w14:paraId="2CF1B46D" w14:textId="4FA38A12" w:rsidR="00292DA3" w:rsidRDefault="00292DA3" w:rsidP="00784CC2">
            <w:pPr>
              <w:spacing w:after="0" w:line="240" w:lineRule="auto"/>
              <w:rPr>
                <w:rFonts w:cs="Calibri"/>
                <w:b/>
              </w:rPr>
            </w:pPr>
          </w:p>
          <w:p w14:paraId="4FF4B186" w14:textId="794B4B7A" w:rsidR="00292DA3" w:rsidRDefault="00292DA3" w:rsidP="00784CC2">
            <w:pPr>
              <w:spacing w:after="0" w:line="240" w:lineRule="auto"/>
              <w:rPr>
                <w:rFonts w:cs="Calibri"/>
                <w:b/>
              </w:rPr>
            </w:pPr>
          </w:p>
          <w:p w14:paraId="589B7371" w14:textId="5EA89416" w:rsidR="00292DA3" w:rsidRDefault="00292DA3" w:rsidP="00784CC2">
            <w:pPr>
              <w:spacing w:after="0" w:line="240" w:lineRule="auto"/>
              <w:rPr>
                <w:rFonts w:cs="Calibri"/>
                <w:b/>
              </w:rPr>
            </w:pPr>
          </w:p>
          <w:p w14:paraId="0445E843" w14:textId="08EC04C5" w:rsidR="00292DA3" w:rsidRDefault="00292DA3" w:rsidP="00784CC2">
            <w:pPr>
              <w:spacing w:after="0" w:line="240" w:lineRule="auto"/>
              <w:rPr>
                <w:rFonts w:cs="Calibri"/>
                <w:b/>
              </w:rPr>
            </w:pPr>
          </w:p>
          <w:p w14:paraId="617FB668" w14:textId="7B85A080" w:rsidR="00292DA3" w:rsidRDefault="00292DA3" w:rsidP="00784CC2">
            <w:pPr>
              <w:spacing w:after="0" w:line="240" w:lineRule="auto"/>
              <w:rPr>
                <w:rFonts w:cs="Calibri"/>
                <w:b/>
              </w:rPr>
            </w:pPr>
          </w:p>
          <w:p w14:paraId="506B3DD8" w14:textId="3D305E50" w:rsidR="00292DA3" w:rsidRDefault="00292DA3" w:rsidP="00784CC2">
            <w:pPr>
              <w:spacing w:after="0" w:line="240" w:lineRule="auto"/>
              <w:rPr>
                <w:rFonts w:cs="Calibri"/>
                <w:b/>
              </w:rPr>
            </w:pPr>
          </w:p>
          <w:p w14:paraId="039EEA8C" w14:textId="0298BB47" w:rsidR="00292DA3" w:rsidRDefault="00292DA3" w:rsidP="00784CC2">
            <w:pPr>
              <w:spacing w:after="0" w:line="240" w:lineRule="auto"/>
              <w:rPr>
                <w:rFonts w:cs="Calibri"/>
                <w:b/>
              </w:rPr>
            </w:pPr>
          </w:p>
          <w:p w14:paraId="38555209" w14:textId="3C38E270" w:rsidR="00292DA3" w:rsidRDefault="00292DA3" w:rsidP="00784CC2">
            <w:pPr>
              <w:spacing w:after="0" w:line="240" w:lineRule="auto"/>
              <w:rPr>
                <w:rFonts w:cs="Calibri"/>
                <w:b/>
              </w:rPr>
            </w:pPr>
          </w:p>
          <w:p w14:paraId="6D53B1E2" w14:textId="3EDC2B14" w:rsidR="00292DA3" w:rsidRDefault="00292DA3" w:rsidP="00784CC2">
            <w:pPr>
              <w:spacing w:after="0" w:line="240" w:lineRule="auto"/>
              <w:rPr>
                <w:rFonts w:cs="Calibri"/>
                <w:b/>
              </w:rPr>
            </w:pPr>
          </w:p>
          <w:p w14:paraId="1F6D8166" w14:textId="4709E572" w:rsidR="00292DA3" w:rsidRDefault="00292DA3" w:rsidP="00784CC2">
            <w:pPr>
              <w:spacing w:after="0" w:line="240" w:lineRule="auto"/>
              <w:rPr>
                <w:rFonts w:cs="Calibri"/>
                <w:b/>
              </w:rPr>
            </w:pPr>
          </w:p>
          <w:p w14:paraId="61B41383" w14:textId="545D8545" w:rsidR="00292DA3" w:rsidRDefault="00292DA3" w:rsidP="00784CC2">
            <w:pPr>
              <w:spacing w:after="0" w:line="240" w:lineRule="auto"/>
              <w:rPr>
                <w:rFonts w:cs="Calibri"/>
                <w:b/>
              </w:rPr>
            </w:pPr>
          </w:p>
          <w:p w14:paraId="22CE8B80" w14:textId="68CA6266" w:rsidR="00292DA3" w:rsidRDefault="00292DA3" w:rsidP="00784CC2">
            <w:pPr>
              <w:spacing w:after="0" w:line="240" w:lineRule="auto"/>
              <w:rPr>
                <w:rFonts w:cs="Calibri"/>
                <w:b/>
              </w:rPr>
            </w:pPr>
          </w:p>
          <w:p w14:paraId="372DC609" w14:textId="72131F15" w:rsidR="00292DA3" w:rsidRDefault="00292DA3" w:rsidP="00784CC2">
            <w:pPr>
              <w:spacing w:after="0" w:line="240" w:lineRule="auto"/>
              <w:rPr>
                <w:rFonts w:cs="Calibri"/>
                <w:b/>
              </w:rPr>
            </w:pPr>
          </w:p>
          <w:p w14:paraId="629C6455" w14:textId="24C20CE3" w:rsidR="00292DA3" w:rsidRDefault="00292DA3" w:rsidP="00784CC2">
            <w:pPr>
              <w:spacing w:after="0" w:line="240" w:lineRule="auto"/>
              <w:rPr>
                <w:rFonts w:cs="Calibri"/>
                <w:b/>
              </w:rPr>
            </w:pPr>
          </w:p>
          <w:p w14:paraId="43752B8B" w14:textId="01144D7D" w:rsidR="00292DA3" w:rsidRDefault="00292DA3" w:rsidP="00784CC2">
            <w:pPr>
              <w:spacing w:after="0" w:line="240" w:lineRule="auto"/>
              <w:rPr>
                <w:rFonts w:cs="Calibri"/>
                <w:b/>
              </w:rPr>
            </w:pPr>
          </w:p>
          <w:p w14:paraId="02ED6DA9" w14:textId="6994972D" w:rsidR="00292DA3" w:rsidRDefault="00292DA3" w:rsidP="00784CC2">
            <w:pPr>
              <w:spacing w:after="0" w:line="240" w:lineRule="auto"/>
              <w:rPr>
                <w:rFonts w:cs="Calibri"/>
                <w:b/>
              </w:rPr>
            </w:pPr>
          </w:p>
          <w:p w14:paraId="04789A30" w14:textId="21BFDFD5" w:rsidR="00292DA3" w:rsidRDefault="00292DA3" w:rsidP="00784CC2">
            <w:pPr>
              <w:spacing w:after="0" w:line="240" w:lineRule="auto"/>
              <w:rPr>
                <w:rFonts w:cs="Calibri"/>
                <w:b/>
              </w:rPr>
            </w:pPr>
          </w:p>
          <w:p w14:paraId="01602EBB" w14:textId="4FA94C2B" w:rsidR="004D769F" w:rsidRDefault="00292DA3" w:rsidP="00784CC2">
            <w:pPr>
              <w:spacing w:after="0" w:line="240" w:lineRule="auto"/>
              <w:rPr>
                <w:rFonts w:cs="Calibri"/>
                <w:b/>
              </w:rPr>
            </w:pPr>
            <w:r w:rsidRPr="00292DA3">
              <w:rPr>
                <w:rFonts w:cs="Calibri"/>
                <w:b/>
              </w:rPr>
              <w:t>Executive Team</w:t>
            </w:r>
          </w:p>
          <w:p w14:paraId="6CE9200A" w14:textId="77777777" w:rsidR="004D769F" w:rsidRDefault="004D769F" w:rsidP="00784CC2">
            <w:pPr>
              <w:spacing w:after="0" w:line="240" w:lineRule="auto"/>
              <w:rPr>
                <w:rFonts w:cs="Calibri"/>
                <w:b/>
              </w:rPr>
            </w:pPr>
          </w:p>
          <w:p w14:paraId="57591816" w14:textId="13E71E15" w:rsidR="004D769F" w:rsidRDefault="004D769F" w:rsidP="00784CC2">
            <w:pPr>
              <w:spacing w:after="0" w:line="240" w:lineRule="auto"/>
              <w:rPr>
                <w:rFonts w:cs="Calibri"/>
                <w:b/>
              </w:rPr>
            </w:pPr>
          </w:p>
        </w:tc>
      </w:tr>
      <w:tr w:rsidR="006A022E" w:rsidRPr="009E60F4" w14:paraId="2432BF2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7F3094F" w14:textId="47A0C709" w:rsidR="006A022E" w:rsidRPr="00B3493D" w:rsidRDefault="006A022E"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BF470DE" w14:textId="003FF31E" w:rsidR="007A5EB4" w:rsidRPr="000B0ABB" w:rsidRDefault="006D33C8" w:rsidP="00B3493D">
            <w:pPr>
              <w:spacing w:after="0" w:line="240" w:lineRule="auto"/>
              <w:rPr>
                <w:rFonts w:cs="Calibri"/>
                <w:b/>
              </w:rPr>
            </w:pPr>
            <w:r>
              <w:rPr>
                <w:rFonts w:cs="Calibri"/>
                <w:b/>
              </w:rPr>
              <w:t>APPEAL ON DECISION LA/Fi/205</w:t>
            </w:r>
            <w:r w:rsidR="00A5203F">
              <w:rPr>
                <w:rFonts w:cs="Calibri"/>
                <w:b/>
              </w:rPr>
              <w:t>0</w:t>
            </w:r>
          </w:p>
          <w:p w14:paraId="6BD1B631" w14:textId="674773C1" w:rsidR="00B3493D" w:rsidRDefault="00784CC2" w:rsidP="00B3493D">
            <w:pPr>
              <w:spacing w:after="0" w:line="240" w:lineRule="auto"/>
              <w:rPr>
                <w:rFonts w:cs="Calibri"/>
              </w:rPr>
            </w:pPr>
            <w:r>
              <w:rPr>
                <w:rFonts w:cs="Calibri"/>
              </w:rPr>
              <w:t>Members noted that the decision on the appeal heard by the Sheriff Principal on 13 August 2018 had still not been issued.</w:t>
            </w:r>
          </w:p>
          <w:p w14:paraId="51B9013A" w14:textId="458DCBD6" w:rsidR="00784CC2" w:rsidRPr="00E24681" w:rsidRDefault="00784CC2" w:rsidP="00B3493D">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766957E" w14:textId="77777777" w:rsidR="006A022E" w:rsidRDefault="006A022E" w:rsidP="00784CC2">
            <w:pPr>
              <w:spacing w:after="0" w:line="240" w:lineRule="auto"/>
              <w:rPr>
                <w:rFonts w:cs="Calibri"/>
                <w:b/>
              </w:rPr>
            </w:pPr>
          </w:p>
          <w:p w14:paraId="11276E27" w14:textId="77777777" w:rsidR="00784CC2" w:rsidRDefault="00784CC2" w:rsidP="00784CC2">
            <w:pPr>
              <w:spacing w:after="0" w:line="240" w:lineRule="auto"/>
              <w:rPr>
                <w:rFonts w:cs="Calibri"/>
                <w:b/>
              </w:rPr>
            </w:pPr>
          </w:p>
          <w:p w14:paraId="4170ECA1" w14:textId="7581D724" w:rsidR="00784CC2" w:rsidRDefault="00784CC2" w:rsidP="00784CC2">
            <w:pPr>
              <w:spacing w:after="0" w:line="240" w:lineRule="auto"/>
              <w:rPr>
                <w:rFonts w:cs="Calibri"/>
                <w:b/>
              </w:rPr>
            </w:pPr>
          </w:p>
        </w:tc>
      </w:tr>
      <w:tr w:rsidR="006A022E" w:rsidRPr="009E60F4" w14:paraId="1BBBF649"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00CEC3B4" w14:textId="1292103C" w:rsidR="006A022E" w:rsidRPr="008921C6" w:rsidRDefault="006A022E"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06F2B57" w14:textId="66EFDCEF" w:rsidR="006A022E" w:rsidRPr="008921C6" w:rsidRDefault="0012109A" w:rsidP="006A022E">
            <w:pPr>
              <w:spacing w:after="0" w:line="240" w:lineRule="auto"/>
              <w:rPr>
                <w:rFonts w:cs="Calibri"/>
              </w:rPr>
            </w:pPr>
            <w:r w:rsidRPr="008921C6">
              <w:rPr>
                <w:rFonts w:cs="Calibri"/>
                <w:b/>
              </w:rPr>
              <w:t>SECTION 19(8) GUIDANCE</w:t>
            </w:r>
          </w:p>
          <w:p w14:paraId="5513AFD5" w14:textId="77777777" w:rsidR="00466975" w:rsidRDefault="006E317C" w:rsidP="000B0ABB">
            <w:pPr>
              <w:spacing w:after="0" w:line="240" w:lineRule="auto"/>
              <w:rPr>
                <w:rFonts w:cs="Calibri"/>
              </w:rPr>
            </w:pPr>
            <w:r w:rsidRPr="008921C6">
              <w:rPr>
                <w:rFonts w:cs="Calibri"/>
              </w:rPr>
              <w:t>Members were advised tha</w:t>
            </w:r>
            <w:r w:rsidR="004F3664" w:rsidRPr="008921C6">
              <w:rPr>
                <w:rFonts w:cs="Calibri"/>
              </w:rPr>
              <w:t>t</w:t>
            </w:r>
            <w:r w:rsidRPr="008921C6">
              <w:rPr>
                <w:rFonts w:cs="Calibri"/>
              </w:rPr>
              <w:t xml:space="preserve"> the </w:t>
            </w:r>
            <w:r w:rsidR="00397159" w:rsidRPr="008921C6">
              <w:rPr>
                <w:rFonts w:cs="Calibri"/>
              </w:rPr>
              <w:t>Executive Director had raised the possibility of the Standards Commission drafting and issuing guidance under Section 19(1) of the Ethical standards in Public Life etc. (Scotland) Act 2000 with the Monitoring Officers’ Working Group.  Monitor</w:t>
            </w:r>
            <w:r w:rsidR="008921C6" w:rsidRPr="008921C6">
              <w:rPr>
                <w:rFonts w:cs="Calibri"/>
              </w:rPr>
              <w:t>i</w:t>
            </w:r>
            <w:r w:rsidR="00397159" w:rsidRPr="008921C6">
              <w:rPr>
                <w:rFonts w:cs="Calibri"/>
              </w:rPr>
              <w:t xml:space="preserve">ng Officers had agreed to provide suggestions on the types of activities a councillor might engage in, over and above attending meetings and Committee meetings of the Council and holding constituent surgeries.  Members agreed </w:t>
            </w:r>
            <w:r w:rsidR="00466975">
              <w:rPr>
                <w:rFonts w:cs="Calibri"/>
              </w:rPr>
              <w:t>that the Executive Director should</w:t>
            </w:r>
            <w:r w:rsidR="00397159" w:rsidRPr="008921C6">
              <w:rPr>
                <w:rFonts w:cs="Calibri"/>
              </w:rPr>
              <w:t xml:space="preserve"> discuss the</w:t>
            </w:r>
            <w:r w:rsidR="008921C6" w:rsidRPr="008921C6">
              <w:rPr>
                <w:rFonts w:cs="Calibri"/>
              </w:rPr>
              <w:t>se</w:t>
            </w:r>
            <w:r w:rsidR="00466975">
              <w:rPr>
                <w:rFonts w:cs="Calibri"/>
              </w:rPr>
              <w:t xml:space="preserve"> with COLSA</w:t>
            </w:r>
            <w:r w:rsidR="008921C6" w:rsidRPr="008921C6">
              <w:rPr>
                <w:rFonts w:cs="Calibri"/>
              </w:rPr>
              <w:t xml:space="preserve"> </w:t>
            </w:r>
            <w:r w:rsidR="00466975">
              <w:rPr>
                <w:rFonts w:cs="Calibri"/>
              </w:rPr>
              <w:t>with</w:t>
            </w:r>
            <w:r w:rsidR="008921C6" w:rsidRPr="008921C6">
              <w:rPr>
                <w:rFonts w:cs="Calibri"/>
              </w:rPr>
              <w:t xml:space="preserve"> a view to identifying ones that a councillor should be precluded from engaging in during any period of full suspension under Section 19(1)(c) of the Act.  Members noted that the Executive Director could then prepare, and </w:t>
            </w:r>
            <w:r w:rsidR="00466975">
              <w:rPr>
                <w:rFonts w:cs="Calibri"/>
              </w:rPr>
              <w:t xml:space="preserve">formally </w:t>
            </w:r>
            <w:r w:rsidR="008921C6" w:rsidRPr="008921C6">
              <w:rPr>
                <w:rFonts w:cs="Calibri"/>
              </w:rPr>
              <w:t>consult with COSLA, on a draft guidance note, as requir</w:t>
            </w:r>
            <w:r w:rsidR="00466975">
              <w:rPr>
                <w:rFonts w:cs="Calibri"/>
              </w:rPr>
              <w:t>ed under the Act, for consideration by Members at their March 2019 meeting</w:t>
            </w:r>
            <w:r w:rsidR="008921C6" w:rsidRPr="008921C6">
              <w:rPr>
                <w:rFonts w:cs="Calibri"/>
              </w:rPr>
              <w:t>.</w:t>
            </w:r>
            <w:r w:rsidR="00466975">
              <w:rPr>
                <w:rFonts w:cs="Calibri"/>
              </w:rPr>
              <w:t xml:space="preserve"> </w:t>
            </w:r>
          </w:p>
          <w:p w14:paraId="08F2C357" w14:textId="77777777" w:rsidR="00466975" w:rsidRDefault="00466975" w:rsidP="000B0ABB">
            <w:pPr>
              <w:spacing w:after="0" w:line="240" w:lineRule="auto"/>
              <w:rPr>
                <w:rFonts w:cs="Calibri"/>
              </w:rPr>
            </w:pPr>
          </w:p>
          <w:p w14:paraId="0AA79C14" w14:textId="261C9827" w:rsidR="00A50F68" w:rsidRPr="008921C6" w:rsidRDefault="00466975" w:rsidP="000B0ABB">
            <w:pPr>
              <w:spacing w:after="0" w:line="240" w:lineRule="auto"/>
              <w:rPr>
                <w:rFonts w:cs="Calibri"/>
              </w:rPr>
            </w:pPr>
            <w:r>
              <w:rPr>
                <w:rFonts w:cs="Calibri"/>
              </w:rPr>
              <w:t xml:space="preserve">Members noted that it may be that the activities a councillor would be precluded from engaging in under the terms of guidance may vary depending on the nature of the breach that led to the suspension.  Members noted, for example, that if a suspension was imposed </w:t>
            </w:r>
            <w:proofErr w:type="gramStart"/>
            <w:r>
              <w:rPr>
                <w:rFonts w:cs="Calibri"/>
              </w:rPr>
              <w:t>as a result of</w:t>
            </w:r>
            <w:proofErr w:type="gramEnd"/>
            <w:r>
              <w:rPr>
                <w:rFonts w:cs="Calibri"/>
              </w:rPr>
              <w:t xml:space="preserve"> a finding of bullying and harassment of officers, it might not be appropriate for the councillor concerned to be allowed to contact the officers concerned, even if he or she was doing so to assist a constituent.</w:t>
            </w:r>
          </w:p>
          <w:p w14:paraId="156AC00C" w14:textId="77777777" w:rsidR="00E955FF" w:rsidRDefault="00E955FF" w:rsidP="0012109A">
            <w:pPr>
              <w:spacing w:after="0" w:line="240" w:lineRule="auto"/>
              <w:rPr>
                <w:rFonts w:cs="Calibri"/>
              </w:rPr>
            </w:pPr>
          </w:p>
          <w:p w14:paraId="17367303" w14:textId="63B44292" w:rsidR="00E955FF" w:rsidRPr="008921C6" w:rsidRDefault="00E955FF" w:rsidP="0012109A">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04B1731C" w14:textId="2CDBEBE2" w:rsidR="007A5EB4" w:rsidRDefault="007A5EB4" w:rsidP="006A022E">
            <w:pPr>
              <w:spacing w:after="0" w:line="240" w:lineRule="auto"/>
              <w:rPr>
                <w:rFonts w:cs="Calibri"/>
                <w:b/>
              </w:rPr>
            </w:pPr>
          </w:p>
          <w:p w14:paraId="0BF503EA" w14:textId="51A3CE12" w:rsidR="00292DA3" w:rsidRDefault="00292DA3" w:rsidP="006A022E">
            <w:pPr>
              <w:spacing w:after="0" w:line="240" w:lineRule="auto"/>
              <w:rPr>
                <w:rFonts w:cs="Calibri"/>
                <w:b/>
              </w:rPr>
            </w:pPr>
          </w:p>
          <w:p w14:paraId="14256CDF" w14:textId="7ACE62CD" w:rsidR="00292DA3" w:rsidRDefault="00292DA3" w:rsidP="006A022E">
            <w:pPr>
              <w:spacing w:after="0" w:line="240" w:lineRule="auto"/>
              <w:rPr>
                <w:rFonts w:cs="Calibri"/>
                <w:b/>
              </w:rPr>
            </w:pPr>
          </w:p>
          <w:p w14:paraId="5AB150BA" w14:textId="5F72CBF5" w:rsidR="00292DA3" w:rsidRDefault="00292DA3" w:rsidP="006A022E">
            <w:pPr>
              <w:spacing w:after="0" w:line="240" w:lineRule="auto"/>
              <w:rPr>
                <w:rFonts w:cs="Calibri"/>
                <w:b/>
              </w:rPr>
            </w:pPr>
          </w:p>
          <w:p w14:paraId="52074E6B" w14:textId="70E2D14E" w:rsidR="00292DA3" w:rsidRDefault="00292DA3" w:rsidP="006A022E">
            <w:pPr>
              <w:spacing w:after="0" w:line="240" w:lineRule="auto"/>
              <w:rPr>
                <w:rFonts w:cs="Calibri"/>
                <w:b/>
              </w:rPr>
            </w:pPr>
          </w:p>
          <w:p w14:paraId="488480FE" w14:textId="77777777" w:rsidR="00466975" w:rsidRDefault="00466975" w:rsidP="006A022E">
            <w:pPr>
              <w:spacing w:after="0" w:line="240" w:lineRule="auto"/>
              <w:rPr>
                <w:rFonts w:cs="Calibri"/>
                <w:b/>
              </w:rPr>
            </w:pPr>
          </w:p>
          <w:p w14:paraId="3E72D98C" w14:textId="5710971D" w:rsidR="00292DA3" w:rsidRDefault="00292DA3" w:rsidP="006A022E">
            <w:pPr>
              <w:spacing w:after="0" w:line="240" w:lineRule="auto"/>
              <w:rPr>
                <w:rFonts w:cs="Calibri"/>
                <w:b/>
              </w:rPr>
            </w:pPr>
          </w:p>
          <w:p w14:paraId="328229C6" w14:textId="643CA8C2" w:rsidR="00292DA3" w:rsidRDefault="00292DA3" w:rsidP="006A022E">
            <w:pPr>
              <w:spacing w:after="0" w:line="240" w:lineRule="auto"/>
              <w:rPr>
                <w:rFonts w:cs="Calibri"/>
                <w:b/>
              </w:rPr>
            </w:pPr>
          </w:p>
          <w:p w14:paraId="0623179C" w14:textId="77777777" w:rsidR="00466975" w:rsidRDefault="00466975" w:rsidP="006A022E">
            <w:pPr>
              <w:spacing w:after="0" w:line="240" w:lineRule="auto"/>
              <w:rPr>
                <w:rFonts w:cs="Calibri"/>
                <w:b/>
              </w:rPr>
            </w:pPr>
          </w:p>
          <w:p w14:paraId="1EAFB1D0" w14:textId="77777777" w:rsidR="00292DA3" w:rsidRDefault="00292DA3" w:rsidP="006A022E">
            <w:pPr>
              <w:spacing w:after="0" w:line="240" w:lineRule="auto"/>
              <w:rPr>
                <w:rFonts w:cs="Calibri"/>
                <w:b/>
              </w:rPr>
            </w:pPr>
          </w:p>
          <w:p w14:paraId="3D5C7F2D" w14:textId="46FEF089" w:rsidR="006A022E" w:rsidRDefault="007A5EB4" w:rsidP="006A022E">
            <w:pPr>
              <w:spacing w:after="0" w:line="240" w:lineRule="auto"/>
              <w:rPr>
                <w:rFonts w:cs="Calibri"/>
                <w:b/>
              </w:rPr>
            </w:pPr>
            <w:r w:rsidRPr="007A5EB4">
              <w:rPr>
                <w:rFonts w:cs="Calibri"/>
                <w:b/>
              </w:rPr>
              <w:t xml:space="preserve">Executive </w:t>
            </w:r>
            <w:r w:rsidR="00DB7CF4">
              <w:rPr>
                <w:rFonts w:cs="Calibri"/>
                <w:b/>
              </w:rPr>
              <w:t>Director</w:t>
            </w:r>
          </w:p>
          <w:p w14:paraId="1EE6EA6C" w14:textId="79D5F6A4" w:rsidR="0081213D" w:rsidRDefault="0081213D" w:rsidP="0012109A">
            <w:pPr>
              <w:spacing w:after="0" w:line="240" w:lineRule="auto"/>
              <w:rPr>
                <w:rFonts w:cs="Calibri"/>
                <w:b/>
              </w:rPr>
            </w:pPr>
          </w:p>
        </w:tc>
      </w:tr>
      <w:tr w:rsidR="006E317C" w:rsidRPr="009E60F4" w14:paraId="7B6312E0"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644BBCF7" w14:textId="77777777" w:rsidR="006E317C" w:rsidRPr="00B3493D" w:rsidRDefault="006E317C"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6AD5F8DC" w14:textId="77777777" w:rsidR="00850793" w:rsidRDefault="006E317C" w:rsidP="006A022E">
            <w:pPr>
              <w:spacing w:after="0" w:line="240" w:lineRule="auto"/>
              <w:rPr>
                <w:rFonts w:cs="Calibri"/>
                <w:b/>
              </w:rPr>
            </w:pPr>
            <w:r w:rsidRPr="008921C6">
              <w:rPr>
                <w:rFonts w:cs="Calibri"/>
                <w:b/>
              </w:rPr>
              <w:t>STANDARDS COMMISSION’S STANDING ORDERS</w:t>
            </w:r>
          </w:p>
          <w:p w14:paraId="7E319332" w14:textId="6CBEB295" w:rsidR="006E317C" w:rsidRPr="008921C6" w:rsidRDefault="008921C6" w:rsidP="006A022E">
            <w:pPr>
              <w:spacing w:after="0" w:line="240" w:lineRule="auto"/>
              <w:rPr>
                <w:rFonts w:cs="Calibri"/>
              </w:rPr>
            </w:pPr>
            <w:r w:rsidRPr="008921C6">
              <w:rPr>
                <w:rFonts w:cs="Calibri"/>
              </w:rPr>
              <w:lastRenderedPageBreak/>
              <w:t xml:space="preserve">Members reviewed and agreed minor changes to the Standards Commission’s Standing Orders.  Members agreed that the Standing Orders should be updated accordingly </w:t>
            </w:r>
            <w:r w:rsidR="00466975">
              <w:rPr>
                <w:rFonts w:cs="Calibri"/>
              </w:rPr>
              <w:t>and thereafter</w:t>
            </w:r>
            <w:r w:rsidRPr="008921C6">
              <w:rPr>
                <w:rFonts w:cs="Calibri"/>
              </w:rPr>
              <w:t xml:space="preserve"> published.</w:t>
            </w:r>
          </w:p>
          <w:p w14:paraId="489D3DE0" w14:textId="4BF52C0A" w:rsidR="006E317C" w:rsidRPr="008921C6" w:rsidRDefault="006E317C" w:rsidP="006A022E">
            <w:pPr>
              <w:spacing w:after="0" w:line="240" w:lineRule="auto"/>
              <w:rPr>
                <w:rFonts w:cs="Calibr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8EC871A" w14:textId="77777777" w:rsidR="004F3664" w:rsidRDefault="004F3664" w:rsidP="006A022E">
            <w:pPr>
              <w:spacing w:after="0" w:line="240" w:lineRule="auto"/>
              <w:rPr>
                <w:rFonts w:cs="Calibri"/>
                <w:b/>
              </w:rPr>
            </w:pPr>
          </w:p>
          <w:p w14:paraId="7372CC05" w14:textId="77777777" w:rsidR="004F3664" w:rsidRDefault="004F3664" w:rsidP="006A022E">
            <w:pPr>
              <w:spacing w:after="0" w:line="240" w:lineRule="auto"/>
              <w:rPr>
                <w:rFonts w:cs="Calibri"/>
                <w:b/>
              </w:rPr>
            </w:pPr>
          </w:p>
          <w:p w14:paraId="535B94AA" w14:textId="6507B334" w:rsidR="006E317C" w:rsidRDefault="006E317C" w:rsidP="006A022E">
            <w:pPr>
              <w:spacing w:after="0" w:line="240" w:lineRule="auto"/>
              <w:rPr>
                <w:rFonts w:cs="Calibri"/>
                <w:b/>
              </w:rPr>
            </w:pPr>
            <w:r w:rsidRPr="006E317C">
              <w:rPr>
                <w:rFonts w:cs="Calibri"/>
                <w:b/>
              </w:rPr>
              <w:lastRenderedPageBreak/>
              <w:t xml:space="preserve">Executive </w:t>
            </w:r>
            <w:r w:rsidR="004F3664">
              <w:rPr>
                <w:rFonts w:cs="Calibri"/>
                <w:b/>
              </w:rPr>
              <w:t>Team</w:t>
            </w:r>
          </w:p>
        </w:tc>
      </w:tr>
      <w:tr w:rsidR="006A022E" w:rsidRPr="000C0AF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5088B562" w:rsidR="006A022E" w:rsidRPr="00EB4648" w:rsidRDefault="006A022E" w:rsidP="006A022E">
            <w:pPr>
              <w:spacing w:after="0" w:line="240" w:lineRule="auto"/>
              <w:rPr>
                <w:rFonts w:cs="Calibri"/>
                <w:b/>
              </w:rPr>
            </w:pPr>
            <w:r w:rsidRPr="00FC6376">
              <w:rPr>
                <w:rFonts w:cs="Calibri"/>
                <w:b/>
                <w:sz w:val="24"/>
              </w:rPr>
              <w:lastRenderedPageBreak/>
              <w:t>CASES UPDATE</w:t>
            </w:r>
          </w:p>
        </w:tc>
      </w:tr>
      <w:tr w:rsidR="006A022E" w:rsidRPr="000C0AF8" w14:paraId="53AECAFF"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0C9713B5" w:rsidR="006A022E" w:rsidRPr="00DB7CF4" w:rsidRDefault="006A022E" w:rsidP="00DB7CF4">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333AC19" w14:textId="2407702B" w:rsidR="006A022E" w:rsidRPr="00B97FA2" w:rsidRDefault="006A022E" w:rsidP="006A022E">
            <w:pPr>
              <w:autoSpaceDE w:val="0"/>
              <w:autoSpaceDN w:val="0"/>
              <w:adjustRightInd w:val="0"/>
              <w:spacing w:after="0" w:line="240" w:lineRule="auto"/>
              <w:rPr>
                <w:rFonts w:cs="Calibri"/>
              </w:rPr>
            </w:pPr>
            <w:r w:rsidRPr="00B97FA2">
              <w:rPr>
                <w:rFonts w:cs="Calibri"/>
                <w:b/>
              </w:rPr>
              <w:t>NOTES OF DECISION</w:t>
            </w:r>
            <w:r w:rsidR="00DB7CF4">
              <w:rPr>
                <w:rFonts w:cs="Calibri"/>
                <w:b/>
              </w:rPr>
              <w:t xml:space="preserve"> OF NO BREACH </w:t>
            </w:r>
            <w:r w:rsidRPr="00B97FA2">
              <w:rPr>
                <w:rFonts w:cs="Calibri"/>
                <w:b/>
              </w:rPr>
              <w:t>&amp; SECTION 14 LETTERS</w:t>
            </w:r>
          </w:p>
          <w:p w14:paraId="4EC6B8A3" w14:textId="7601503D" w:rsidR="00466975" w:rsidRDefault="001431BA" w:rsidP="006A022E">
            <w:pPr>
              <w:autoSpaceDE w:val="0"/>
              <w:autoSpaceDN w:val="0"/>
              <w:adjustRightInd w:val="0"/>
              <w:spacing w:after="0" w:line="240" w:lineRule="auto"/>
              <w:rPr>
                <w:rFonts w:cs="Calibri"/>
              </w:rPr>
            </w:pPr>
            <w:r>
              <w:rPr>
                <w:rFonts w:cs="Calibri"/>
              </w:rPr>
              <w:t xml:space="preserve">Members </w:t>
            </w:r>
            <w:r w:rsidR="0012109A">
              <w:rPr>
                <w:rFonts w:cs="Calibri"/>
              </w:rPr>
              <w:t>noted the terms of three</w:t>
            </w:r>
            <w:r w:rsidR="009B1762">
              <w:rPr>
                <w:rFonts w:cs="Calibri"/>
              </w:rPr>
              <w:t xml:space="preserve"> </w:t>
            </w:r>
            <w:r w:rsidR="006A022E" w:rsidRPr="00C52F3F">
              <w:rPr>
                <w:rFonts w:cs="Calibri"/>
              </w:rPr>
              <w:t>non-breach report</w:t>
            </w:r>
            <w:r w:rsidR="0088509F">
              <w:rPr>
                <w:rFonts w:cs="Calibri"/>
              </w:rPr>
              <w:t>s</w:t>
            </w:r>
            <w:r w:rsidR="006A022E" w:rsidRPr="002D37A9">
              <w:rPr>
                <w:rFonts w:cs="Calibri"/>
              </w:rPr>
              <w:t xml:space="preserve"> issued by the </w:t>
            </w:r>
            <w:r w:rsidR="00DE72A4">
              <w:rPr>
                <w:rFonts w:cs="Calibri"/>
              </w:rPr>
              <w:t>ESC</w:t>
            </w:r>
            <w:r w:rsidR="003D735C">
              <w:rPr>
                <w:rFonts w:cs="Calibri"/>
              </w:rPr>
              <w:t xml:space="preserve"> </w:t>
            </w:r>
            <w:r w:rsidR="00100511">
              <w:rPr>
                <w:rFonts w:cs="Calibri"/>
              </w:rPr>
              <w:t xml:space="preserve">concerning </w:t>
            </w:r>
            <w:r w:rsidR="00DF606B">
              <w:rPr>
                <w:rFonts w:cs="Calibri"/>
              </w:rPr>
              <w:t>an elected member from</w:t>
            </w:r>
            <w:r w:rsidR="00100511">
              <w:rPr>
                <w:rFonts w:cs="Calibri"/>
              </w:rPr>
              <w:t xml:space="preserve"> </w:t>
            </w:r>
            <w:r w:rsidR="0012109A">
              <w:rPr>
                <w:rFonts w:cs="Calibri"/>
              </w:rPr>
              <w:t>North Ayrshire</w:t>
            </w:r>
            <w:r w:rsidR="00DF606B">
              <w:rPr>
                <w:rFonts w:cs="Calibri"/>
              </w:rPr>
              <w:t xml:space="preserve"> Council and two elected members of </w:t>
            </w:r>
            <w:r w:rsidR="00100511">
              <w:rPr>
                <w:rFonts w:cs="Calibri"/>
              </w:rPr>
              <w:t>North Lanarkshire Council</w:t>
            </w:r>
            <w:r w:rsidR="00DF606B">
              <w:rPr>
                <w:rFonts w:cs="Calibri"/>
              </w:rPr>
              <w:t xml:space="preserve">. </w:t>
            </w:r>
            <w:r w:rsidR="00E955FF">
              <w:rPr>
                <w:rFonts w:cs="Calibri"/>
              </w:rPr>
              <w:t xml:space="preserve"> </w:t>
            </w:r>
            <w:r w:rsidR="00D21671">
              <w:rPr>
                <w:rFonts w:cs="Calibri"/>
              </w:rPr>
              <w:t>Members expressed concerns about some of the reasoning and conclusions contained in these, and asked the Executive Director to bring these to the attention of the ESC.</w:t>
            </w:r>
          </w:p>
          <w:p w14:paraId="58F682C4" w14:textId="77777777" w:rsidR="00466975" w:rsidRDefault="00466975" w:rsidP="006A022E">
            <w:pPr>
              <w:autoSpaceDE w:val="0"/>
              <w:autoSpaceDN w:val="0"/>
              <w:adjustRightInd w:val="0"/>
              <w:spacing w:after="0" w:line="240" w:lineRule="auto"/>
              <w:rPr>
                <w:rFonts w:cs="Calibri"/>
              </w:rPr>
            </w:pPr>
          </w:p>
          <w:p w14:paraId="17A96650" w14:textId="23B5B961" w:rsidR="00466975" w:rsidRDefault="00100511" w:rsidP="006A022E">
            <w:pPr>
              <w:autoSpaceDE w:val="0"/>
              <w:autoSpaceDN w:val="0"/>
              <w:adjustRightInd w:val="0"/>
              <w:spacing w:after="0" w:line="240" w:lineRule="auto"/>
              <w:rPr>
                <w:rFonts w:cs="Calibri"/>
              </w:rPr>
            </w:pPr>
            <w:r>
              <w:rPr>
                <w:rFonts w:cs="Calibri"/>
              </w:rPr>
              <w:t>Members noted the</w:t>
            </w:r>
            <w:r w:rsidR="003D735C">
              <w:rPr>
                <w:rFonts w:cs="Calibri"/>
              </w:rPr>
              <w:t xml:space="preserve"> </w:t>
            </w:r>
            <w:r>
              <w:rPr>
                <w:rFonts w:cs="Calibri"/>
              </w:rPr>
              <w:t>letter</w:t>
            </w:r>
            <w:r w:rsidR="006E317C">
              <w:rPr>
                <w:rFonts w:cs="Calibri"/>
              </w:rPr>
              <w:t>s</w:t>
            </w:r>
            <w:r>
              <w:rPr>
                <w:rFonts w:cs="Calibri"/>
              </w:rPr>
              <w:t xml:space="preserve"> issued by the </w:t>
            </w:r>
            <w:r w:rsidR="00DE72A4">
              <w:rPr>
                <w:rFonts w:cs="Calibri"/>
              </w:rPr>
              <w:t>ESC</w:t>
            </w:r>
            <w:r>
              <w:rPr>
                <w:rFonts w:cs="Calibri"/>
              </w:rPr>
              <w:t xml:space="preserve"> under </w:t>
            </w:r>
            <w:r w:rsidR="003D735C">
              <w:rPr>
                <w:rFonts w:cs="Calibri"/>
              </w:rPr>
              <w:t xml:space="preserve">Section 14 </w:t>
            </w:r>
            <w:r>
              <w:rPr>
                <w:rFonts w:cs="Calibri"/>
              </w:rPr>
              <w:t>of the Act advising that</w:t>
            </w:r>
            <w:r w:rsidR="003D735C">
              <w:rPr>
                <w:rFonts w:cs="Calibri"/>
              </w:rPr>
              <w:t xml:space="preserve"> he had issued draft breach report</w:t>
            </w:r>
            <w:r w:rsidR="00FC5C7D">
              <w:rPr>
                <w:rFonts w:cs="Calibri"/>
              </w:rPr>
              <w:t>s</w:t>
            </w:r>
            <w:r w:rsidR="003D735C">
              <w:rPr>
                <w:rFonts w:cs="Calibri"/>
              </w:rPr>
              <w:t xml:space="preserve"> to </w:t>
            </w:r>
            <w:r w:rsidR="00DF606B">
              <w:rPr>
                <w:rFonts w:cs="Calibri"/>
              </w:rPr>
              <w:t xml:space="preserve">a Fife </w:t>
            </w:r>
            <w:r w:rsidR="001122BE">
              <w:rPr>
                <w:rFonts w:cs="Calibri"/>
              </w:rPr>
              <w:t>councillor</w:t>
            </w:r>
            <w:r w:rsidR="00466975">
              <w:rPr>
                <w:rFonts w:cs="Calibri"/>
              </w:rPr>
              <w:t xml:space="preserve"> and a South Lanarkshire c</w:t>
            </w:r>
            <w:r w:rsidR="006E317C">
              <w:rPr>
                <w:rFonts w:cs="Calibri"/>
              </w:rPr>
              <w:t>ouncillor</w:t>
            </w:r>
            <w:r w:rsidR="006A022E" w:rsidRPr="002D37A9">
              <w:rPr>
                <w:rFonts w:cs="Calibri"/>
              </w:rPr>
              <w:t xml:space="preserve">. </w:t>
            </w:r>
          </w:p>
          <w:p w14:paraId="5C07001D" w14:textId="77777777" w:rsidR="00466975" w:rsidRDefault="00466975" w:rsidP="006A022E">
            <w:pPr>
              <w:autoSpaceDE w:val="0"/>
              <w:autoSpaceDN w:val="0"/>
              <w:adjustRightInd w:val="0"/>
              <w:spacing w:after="0" w:line="240" w:lineRule="auto"/>
              <w:rPr>
                <w:rFonts w:cs="Calibri"/>
              </w:rPr>
            </w:pPr>
          </w:p>
          <w:p w14:paraId="705DED82" w14:textId="2B703A35" w:rsidR="006A022E" w:rsidRPr="005B571B" w:rsidRDefault="00466975" w:rsidP="006A022E">
            <w:pPr>
              <w:autoSpaceDE w:val="0"/>
              <w:autoSpaceDN w:val="0"/>
              <w:adjustRightInd w:val="0"/>
              <w:spacing w:after="0" w:line="240" w:lineRule="auto"/>
              <w:rPr>
                <w:rFonts w:cs="Calibri"/>
              </w:rPr>
            </w:pPr>
            <w:r w:rsidRPr="00466975">
              <w:rPr>
                <w:rFonts w:cs="Calibri"/>
              </w:rPr>
              <w:t>Members agreed that there was no reason for the Standards Commission to be advised of the names of the Respondent</w:t>
            </w:r>
            <w:r>
              <w:rPr>
                <w:rFonts w:cs="Calibri"/>
              </w:rPr>
              <w:t>s in non-breach reports and Secti</w:t>
            </w:r>
            <w:r w:rsidRPr="00466975">
              <w:rPr>
                <w:rFonts w:cs="Calibri"/>
              </w:rPr>
              <w:t xml:space="preserve">on 14 letters, given that the Standards Commission had no locus </w:t>
            </w:r>
            <w:proofErr w:type="gramStart"/>
            <w:r>
              <w:rPr>
                <w:rFonts w:cs="Calibri"/>
              </w:rPr>
              <w:t>until such time as</w:t>
            </w:r>
            <w:proofErr w:type="gramEnd"/>
            <w:r>
              <w:rPr>
                <w:rFonts w:cs="Calibri"/>
              </w:rPr>
              <w:t xml:space="preserve"> a report was referred to it </w:t>
            </w:r>
            <w:r w:rsidR="00DE72A4">
              <w:rPr>
                <w:rFonts w:cs="Calibri"/>
              </w:rPr>
              <w:t>to make a decision under Section 16 of the Act.</w:t>
            </w:r>
            <w:r>
              <w:rPr>
                <w:rFonts w:cs="Calibri"/>
              </w:rPr>
              <w:t xml:space="preserve"> </w:t>
            </w:r>
            <w:r w:rsidR="00DE72A4">
              <w:rPr>
                <w:rFonts w:cs="Calibri"/>
              </w:rPr>
              <w:t xml:space="preserve"> Members agreed that the ESC should be asked to redact the names of the Respondents before sending the Standards Commission any non-breach reports and Section 14 letters.</w:t>
            </w:r>
          </w:p>
          <w:p w14:paraId="709147FB" w14:textId="2A7C8808" w:rsidR="006A022E" w:rsidRPr="00B97FA2" w:rsidRDefault="006A022E" w:rsidP="006A022E">
            <w:pPr>
              <w:autoSpaceDE w:val="0"/>
              <w:autoSpaceDN w:val="0"/>
              <w:adjustRightInd w:val="0"/>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8505F7F" w14:textId="77777777" w:rsidR="006A022E" w:rsidRDefault="006A022E" w:rsidP="006A022E">
            <w:pPr>
              <w:spacing w:after="0" w:line="240" w:lineRule="auto"/>
              <w:rPr>
                <w:rFonts w:cs="Calibri"/>
                <w:b/>
              </w:rPr>
            </w:pPr>
          </w:p>
          <w:p w14:paraId="0E39EA34" w14:textId="77777777" w:rsidR="00DE72A4" w:rsidRDefault="00DE72A4" w:rsidP="006A022E">
            <w:pPr>
              <w:spacing w:after="0" w:line="240" w:lineRule="auto"/>
              <w:rPr>
                <w:rFonts w:cs="Calibri"/>
                <w:b/>
              </w:rPr>
            </w:pPr>
          </w:p>
          <w:p w14:paraId="1371545F" w14:textId="77777777" w:rsidR="00DE72A4" w:rsidRDefault="00DE72A4" w:rsidP="006A022E">
            <w:pPr>
              <w:spacing w:after="0" w:line="240" w:lineRule="auto"/>
              <w:rPr>
                <w:rFonts w:cs="Calibri"/>
                <w:b/>
              </w:rPr>
            </w:pPr>
          </w:p>
          <w:p w14:paraId="103AAE27" w14:textId="527FDC77" w:rsidR="00DE72A4" w:rsidRDefault="00D21671" w:rsidP="006A022E">
            <w:pPr>
              <w:spacing w:after="0" w:line="240" w:lineRule="auto"/>
              <w:rPr>
                <w:rFonts w:cs="Calibri"/>
                <w:b/>
              </w:rPr>
            </w:pPr>
            <w:r>
              <w:rPr>
                <w:rFonts w:cs="Calibri"/>
                <w:b/>
              </w:rPr>
              <w:t>Executive Director</w:t>
            </w:r>
          </w:p>
          <w:p w14:paraId="1423A795" w14:textId="77777777" w:rsidR="00DE72A4" w:rsidRDefault="00DE72A4" w:rsidP="006A022E">
            <w:pPr>
              <w:spacing w:after="0" w:line="240" w:lineRule="auto"/>
              <w:rPr>
                <w:rFonts w:cs="Calibri"/>
                <w:b/>
              </w:rPr>
            </w:pPr>
          </w:p>
          <w:p w14:paraId="65EE6D71" w14:textId="77777777" w:rsidR="00DE72A4" w:rsidRDefault="00DE72A4" w:rsidP="006A022E">
            <w:pPr>
              <w:spacing w:after="0" w:line="240" w:lineRule="auto"/>
              <w:rPr>
                <w:rFonts w:cs="Calibri"/>
                <w:b/>
              </w:rPr>
            </w:pPr>
          </w:p>
          <w:p w14:paraId="47877E03" w14:textId="77777777" w:rsidR="00DE72A4" w:rsidRDefault="00DE72A4" w:rsidP="006A022E">
            <w:pPr>
              <w:spacing w:after="0" w:line="240" w:lineRule="auto"/>
              <w:rPr>
                <w:rFonts w:cs="Calibri"/>
                <w:b/>
              </w:rPr>
            </w:pPr>
          </w:p>
          <w:p w14:paraId="19426254" w14:textId="7B7E13D4" w:rsidR="00DE72A4" w:rsidRDefault="00DE72A4" w:rsidP="006A022E">
            <w:pPr>
              <w:spacing w:after="0" w:line="240" w:lineRule="auto"/>
              <w:rPr>
                <w:rFonts w:cs="Calibri"/>
                <w:b/>
              </w:rPr>
            </w:pPr>
          </w:p>
          <w:p w14:paraId="2ECBB36A" w14:textId="77777777" w:rsidR="00D21671" w:rsidRDefault="00D21671" w:rsidP="006A022E">
            <w:pPr>
              <w:spacing w:after="0" w:line="240" w:lineRule="auto"/>
              <w:rPr>
                <w:rFonts w:cs="Calibri"/>
                <w:b/>
              </w:rPr>
            </w:pPr>
          </w:p>
          <w:p w14:paraId="26BF7CA6" w14:textId="0E39A902" w:rsidR="00DE72A4" w:rsidRDefault="00DE72A4" w:rsidP="006A022E">
            <w:pPr>
              <w:spacing w:after="0" w:line="240" w:lineRule="auto"/>
              <w:rPr>
                <w:rFonts w:cs="Calibri"/>
                <w:b/>
              </w:rPr>
            </w:pPr>
          </w:p>
          <w:p w14:paraId="55157B28" w14:textId="77777777" w:rsidR="00D21671" w:rsidRDefault="00D21671" w:rsidP="006A022E">
            <w:pPr>
              <w:spacing w:after="0" w:line="240" w:lineRule="auto"/>
              <w:rPr>
                <w:rFonts w:cs="Calibri"/>
                <w:b/>
              </w:rPr>
            </w:pPr>
          </w:p>
          <w:p w14:paraId="2C073E0C" w14:textId="77777777" w:rsidR="00DE72A4" w:rsidRDefault="00DE72A4" w:rsidP="006A022E">
            <w:pPr>
              <w:spacing w:after="0" w:line="240" w:lineRule="auto"/>
              <w:rPr>
                <w:rFonts w:cs="Calibri"/>
                <w:b/>
              </w:rPr>
            </w:pPr>
          </w:p>
          <w:p w14:paraId="467549BD" w14:textId="0706C6B6" w:rsidR="00DE72A4" w:rsidRDefault="00DE72A4" w:rsidP="006A022E">
            <w:pPr>
              <w:spacing w:after="0" w:line="240" w:lineRule="auto"/>
              <w:rPr>
                <w:rFonts w:cs="Calibri"/>
                <w:b/>
              </w:rPr>
            </w:pPr>
            <w:r w:rsidRPr="00DE72A4">
              <w:rPr>
                <w:rFonts w:cs="Calibri"/>
                <w:b/>
              </w:rPr>
              <w:t>Executive Team</w:t>
            </w:r>
          </w:p>
          <w:p w14:paraId="194052A2" w14:textId="2CE41E90" w:rsidR="00DE72A4" w:rsidRPr="000C0AF8" w:rsidRDefault="00DE72A4" w:rsidP="006A022E">
            <w:pPr>
              <w:spacing w:after="0" w:line="240" w:lineRule="auto"/>
              <w:rPr>
                <w:rFonts w:cs="Calibri"/>
                <w:b/>
              </w:rPr>
            </w:pPr>
          </w:p>
        </w:tc>
      </w:tr>
      <w:tr w:rsidR="006A022E" w:rsidRPr="000C0AF8" w14:paraId="50499E99" w14:textId="1CBD2882" w:rsidTr="005B2FFA">
        <w:trPr>
          <w:trHeight w:val="697"/>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1E19BD28" w:rsidR="006A022E" w:rsidRPr="00DB7CF4" w:rsidRDefault="006A022E" w:rsidP="00DB7CF4">
            <w:pPr>
              <w:pStyle w:val="ListParagraph"/>
              <w:numPr>
                <w:ilvl w:val="0"/>
                <w:numId w:val="30"/>
              </w:numPr>
              <w:spacing w:after="0" w:line="240" w:lineRule="auto"/>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5797C23" w14:textId="77777777" w:rsidR="006A022E" w:rsidRPr="00C52F3F" w:rsidRDefault="006A022E" w:rsidP="006A022E">
            <w:pPr>
              <w:autoSpaceDE w:val="0"/>
              <w:autoSpaceDN w:val="0"/>
              <w:adjustRightInd w:val="0"/>
              <w:spacing w:after="0" w:line="240" w:lineRule="auto"/>
              <w:rPr>
                <w:rFonts w:cs="Calibri"/>
                <w:b/>
              </w:rPr>
            </w:pPr>
            <w:r w:rsidRPr="00C52F3F">
              <w:rPr>
                <w:rFonts w:cs="Calibri"/>
                <w:b/>
              </w:rPr>
              <w:t>BREACH REPORTS HEARING AND POST HEARING UPDATES</w:t>
            </w:r>
          </w:p>
          <w:p w14:paraId="24942EB2" w14:textId="0AEA3482" w:rsidR="0088509F" w:rsidRDefault="006A022E" w:rsidP="00F34CFF">
            <w:pPr>
              <w:pStyle w:val="NoSpacing"/>
              <w:numPr>
                <w:ilvl w:val="0"/>
                <w:numId w:val="35"/>
              </w:numPr>
              <w:tabs>
                <w:tab w:val="left" w:pos="0"/>
                <w:tab w:val="left" w:pos="331"/>
              </w:tabs>
              <w:ind w:left="0" w:firstLine="0"/>
            </w:pPr>
            <w:r w:rsidRPr="00DB7CF4">
              <w:rPr>
                <w:b/>
              </w:rPr>
              <w:t>LA/</w:t>
            </w:r>
            <w:r w:rsidR="0088509F" w:rsidRPr="00DB7CF4">
              <w:rPr>
                <w:b/>
              </w:rPr>
              <w:t>A</w:t>
            </w:r>
            <w:r w:rsidR="00E74DBF">
              <w:rPr>
                <w:b/>
              </w:rPr>
              <w:t>B</w:t>
            </w:r>
            <w:r w:rsidRPr="00DB7CF4">
              <w:rPr>
                <w:b/>
              </w:rPr>
              <w:t>/2</w:t>
            </w:r>
            <w:r w:rsidR="00E74DBF">
              <w:rPr>
                <w:b/>
              </w:rPr>
              <w:t>125</w:t>
            </w:r>
            <w:r w:rsidRPr="00C52F3F">
              <w:t xml:space="preserve">:  </w:t>
            </w:r>
            <w:r w:rsidR="00067DEB">
              <w:t xml:space="preserve">Councillor </w:t>
            </w:r>
            <w:r w:rsidR="00E74DBF">
              <w:t xml:space="preserve">Gary Mulvaney of Argyll and Bute Council.  </w:t>
            </w:r>
            <w:r w:rsidR="00F34CFF">
              <w:t>Members noted that a Hearing had been held on 1</w:t>
            </w:r>
            <w:r w:rsidR="00E74DBF">
              <w:t>8</w:t>
            </w:r>
            <w:r w:rsidR="00F34CFF">
              <w:t xml:space="preserve"> </w:t>
            </w:r>
            <w:r w:rsidR="00E74DBF">
              <w:t>January</w:t>
            </w:r>
            <w:r w:rsidR="00F34CFF">
              <w:t xml:space="preserve"> 201</w:t>
            </w:r>
            <w:r w:rsidR="00E74DBF">
              <w:t>9</w:t>
            </w:r>
            <w:r w:rsidR="008C7C16">
              <w:t xml:space="preserve">, at which </w:t>
            </w:r>
            <w:r w:rsidR="00F34CFF">
              <w:t xml:space="preserve">Councillor </w:t>
            </w:r>
            <w:r w:rsidR="00E74DBF">
              <w:t>Mulvaney</w:t>
            </w:r>
            <w:r w:rsidR="00F34CFF">
              <w:t xml:space="preserve"> </w:t>
            </w:r>
            <w:r w:rsidR="008C7C16">
              <w:t>was</w:t>
            </w:r>
            <w:r w:rsidR="00F34CFF">
              <w:t xml:space="preserve"> found</w:t>
            </w:r>
            <w:r w:rsidR="00E74DBF">
              <w:t xml:space="preserve"> </w:t>
            </w:r>
            <w:r w:rsidR="004D769F">
              <w:t>to have breached the Code and was censured.</w:t>
            </w:r>
          </w:p>
          <w:p w14:paraId="751A7F32" w14:textId="77777777" w:rsidR="00067DEB" w:rsidRPr="00C52F3F" w:rsidRDefault="00067DEB" w:rsidP="00067DEB">
            <w:pPr>
              <w:pStyle w:val="NoSpacing"/>
              <w:tabs>
                <w:tab w:val="left" w:pos="322"/>
              </w:tabs>
            </w:pPr>
          </w:p>
          <w:p w14:paraId="15E54CFA" w14:textId="0B75DB73" w:rsidR="00F34CFF" w:rsidRPr="004F3664" w:rsidRDefault="006A022E" w:rsidP="00CF1A1E">
            <w:pPr>
              <w:pStyle w:val="NoSpacing"/>
              <w:numPr>
                <w:ilvl w:val="0"/>
                <w:numId w:val="35"/>
              </w:numPr>
              <w:tabs>
                <w:tab w:val="left" w:pos="0"/>
                <w:tab w:val="left" w:pos="362"/>
              </w:tabs>
              <w:ind w:left="0" w:firstLine="0"/>
              <w:rPr>
                <w:b/>
              </w:rPr>
            </w:pPr>
            <w:r w:rsidRPr="00F34CFF">
              <w:rPr>
                <w:b/>
              </w:rPr>
              <w:t>LA/</w:t>
            </w:r>
            <w:r w:rsidR="00E74DBF">
              <w:rPr>
                <w:b/>
              </w:rPr>
              <w:t>AN/2134</w:t>
            </w:r>
            <w:r w:rsidRPr="00C52F3F">
              <w:t>:  Councillor</w:t>
            </w:r>
            <w:r w:rsidR="00E74DBF">
              <w:t xml:space="preserve"> Brian Boyd of Angus Council</w:t>
            </w:r>
            <w:r w:rsidR="00812D2C">
              <w:t xml:space="preserve">.  </w:t>
            </w:r>
            <w:r w:rsidR="00F34CFF" w:rsidRPr="00F34CFF">
              <w:t xml:space="preserve">Members noted a </w:t>
            </w:r>
            <w:r w:rsidR="00F34CFF">
              <w:t xml:space="preserve">pre-Hearing meeting </w:t>
            </w:r>
            <w:r w:rsidR="00E74DBF">
              <w:t xml:space="preserve">was </w:t>
            </w:r>
            <w:r w:rsidR="00F34CFF">
              <w:t xml:space="preserve">held on </w:t>
            </w:r>
            <w:r w:rsidR="00E74DBF">
              <w:t>22 January 2019</w:t>
            </w:r>
            <w:r w:rsidR="00F34CFF">
              <w:t xml:space="preserve">, with the </w:t>
            </w:r>
            <w:r w:rsidR="00F34CFF" w:rsidRPr="00F34CFF">
              <w:t xml:space="preserve">Hearing scheduled to take place on </w:t>
            </w:r>
            <w:r w:rsidR="00F60206">
              <w:t>20 February 2019.</w:t>
            </w:r>
            <w:r w:rsidR="004F3664">
              <w:t xml:space="preserve">  Members agreed that a suggestion made at the pre-Hearing meeting to the effect that the Standards Commission should produce a flowchart explaining the procedures that were followed at Hearings be actioned.  Members asked the Executive Team to prepare a draft of this for consideration at the next meeting.</w:t>
            </w:r>
          </w:p>
          <w:p w14:paraId="7FD4317D" w14:textId="77777777" w:rsidR="00CF1A1E" w:rsidRDefault="00CF1A1E" w:rsidP="00CF1A1E">
            <w:pPr>
              <w:spacing w:after="0" w:line="240" w:lineRule="auto"/>
            </w:pPr>
          </w:p>
          <w:p w14:paraId="492FFA81" w14:textId="0173E8E2" w:rsidR="00CF1A1E" w:rsidRDefault="004F3664" w:rsidP="00CF1A1E">
            <w:pPr>
              <w:spacing w:after="0" w:line="240" w:lineRule="auto"/>
            </w:pPr>
            <w:r w:rsidRPr="00CF1A1E">
              <w:t xml:space="preserve">Members noted that further point had been raised at the pre-Hearing meeting in respect of whether </w:t>
            </w:r>
            <w:r w:rsidR="00CF1A1E" w:rsidRPr="00CF1A1E">
              <w:t xml:space="preserve">a Hearing Panel was entitled to disagree with any conclusion by the Commissioner for Ethical Standards in Public Life in Scotland (ESC) that, due to the protection afforded by Article 10 of the ECHR, certain parts of a complaint referred to the Standards Commission under Section 14 of the Ethical Standards in Public Life etc. (Scotland) Act 2000 did not give rise to a breach.  </w:t>
            </w:r>
          </w:p>
          <w:p w14:paraId="56B9E2DE" w14:textId="77777777" w:rsidR="00CF1A1E" w:rsidRPr="00CF1A1E" w:rsidRDefault="00CF1A1E" w:rsidP="00CF1A1E">
            <w:pPr>
              <w:spacing w:after="0" w:line="240" w:lineRule="auto"/>
            </w:pPr>
          </w:p>
          <w:p w14:paraId="0CD30784" w14:textId="173ED621" w:rsidR="00CF1A1E" w:rsidRDefault="00CF1A1E" w:rsidP="00CF1A1E">
            <w:pPr>
              <w:spacing w:after="0" w:line="240" w:lineRule="auto"/>
            </w:pPr>
            <w:r w:rsidRPr="00CF1A1E">
              <w:t>Members agreed that a Hearing Panel could not do so because</w:t>
            </w:r>
            <w:r>
              <w:t xml:space="preserve"> t</w:t>
            </w:r>
            <w:r w:rsidRPr="00CF1A1E">
              <w:t xml:space="preserve">he ESC was obliged, by law, to consider the applicability of Article 10 as part of his investigation and reporting.  This was done before he made a recommendation to the Standards Commission under Section 14 of the 2000 Act.  While the ESC might find that a </w:t>
            </w:r>
            <w:r w:rsidRPr="00CF1A1E">
              <w:rPr>
                <w:i/>
              </w:rPr>
              <w:t>prima facie</w:t>
            </w:r>
            <w:r w:rsidRPr="00CF1A1E">
              <w:t xml:space="preserve"> breach of a Code had been established in respect of certain aspects of the complaint, if the recommendation in the report (i.e. his conclusion) was that these aspects of the complaint attracted the enhanced protection afforded by Article 10 of the ECHR then his overall conclusion was that, as such, they did not give rise to a breach.  </w:t>
            </w:r>
          </w:p>
          <w:p w14:paraId="60A9785E" w14:textId="77777777" w:rsidR="00CF1A1E" w:rsidRPr="00CF1A1E" w:rsidRDefault="00CF1A1E" w:rsidP="00CF1A1E">
            <w:pPr>
              <w:spacing w:after="0" w:line="240" w:lineRule="auto"/>
            </w:pPr>
          </w:p>
          <w:p w14:paraId="1C27065D" w14:textId="1FF81D23" w:rsidR="004F3664" w:rsidRPr="00CF1A1E" w:rsidRDefault="00CF1A1E" w:rsidP="00CF1A1E">
            <w:pPr>
              <w:spacing w:after="0" w:line="240" w:lineRule="auto"/>
            </w:pPr>
            <w:r w:rsidRPr="00CF1A1E">
              <w:t>Members noted th</w:t>
            </w:r>
            <w:r>
              <w:t>at</w:t>
            </w:r>
            <w:r w:rsidRPr="00CF1A1E">
              <w:t xml:space="preserve"> their view on this was supported by the fact that if the ESC found a breach of the respect provisions on the face of it but applied Article 10 and concluded</w:t>
            </w:r>
            <w:r>
              <w:t xml:space="preserve"> that</w:t>
            </w:r>
            <w:r w:rsidRPr="00CF1A1E">
              <w:t xml:space="preserve"> no breach ha</w:t>
            </w:r>
            <w:r>
              <w:t>d</w:t>
            </w:r>
            <w:r w:rsidRPr="00CF1A1E">
              <w:t xml:space="preserve"> occurred as a result, a report would not</w:t>
            </w:r>
            <w:r>
              <w:t xml:space="preserve"> even</w:t>
            </w:r>
            <w:r w:rsidRPr="00CF1A1E">
              <w:t xml:space="preserve"> be referred under Section 14</w:t>
            </w:r>
            <w:r>
              <w:t xml:space="preserve"> and</w:t>
            </w:r>
            <w:r w:rsidRPr="00CF1A1E">
              <w:t xml:space="preserve"> the Standards Commissi</w:t>
            </w:r>
            <w:r>
              <w:t>on would have no locus to even consider the complaint</w:t>
            </w:r>
            <w:r w:rsidRPr="00CF1A1E">
              <w:t>.</w:t>
            </w:r>
          </w:p>
          <w:p w14:paraId="484316B5" w14:textId="77777777" w:rsidR="00F60206" w:rsidRDefault="00F60206" w:rsidP="00F60206">
            <w:pPr>
              <w:pStyle w:val="NoSpacing"/>
              <w:tabs>
                <w:tab w:val="left" w:pos="0"/>
                <w:tab w:val="left" w:pos="362"/>
              </w:tabs>
              <w:rPr>
                <w:b/>
              </w:rPr>
            </w:pPr>
          </w:p>
          <w:p w14:paraId="0BF176BF" w14:textId="14E2D6A5" w:rsidR="003E2ECC" w:rsidRPr="003E2ECC" w:rsidRDefault="00C11E3D" w:rsidP="003E2ECC">
            <w:pPr>
              <w:pStyle w:val="NoSpacing"/>
              <w:numPr>
                <w:ilvl w:val="0"/>
                <w:numId w:val="35"/>
              </w:numPr>
              <w:tabs>
                <w:tab w:val="left" w:pos="0"/>
                <w:tab w:val="left" w:pos="362"/>
              </w:tabs>
              <w:ind w:left="0" w:firstLine="0"/>
              <w:rPr>
                <w:b/>
              </w:rPr>
            </w:pPr>
            <w:r>
              <w:rPr>
                <w:b/>
              </w:rPr>
              <w:lastRenderedPageBreak/>
              <w:t>LA/</w:t>
            </w:r>
            <w:r w:rsidR="003E2ECC">
              <w:rPr>
                <w:b/>
              </w:rPr>
              <w:t xml:space="preserve">An/2094:  </w:t>
            </w:r>
            <w:r w:rsidR="003E2ECC" w:rsidRPr="003E2ECC">
              <w:t xml:space="preserve">Councillor Richard Moore of Angus Council.  Members noted that Angus </w:t>
            </w:r>
            <w:r w:rsidR="003E2ECC">
              <w:t>C</w:t>
            </w:r>
            <w:r w:rsidR="003E2ECC" w:rsidRPr="003E2ECC">
              <w:t xml:space="preserve">ouncil had confirmed </w:t>
            </w:r>
            <w:r w:rsidR="003E2ECC">
              <w:t>in a letter of 17 Jan</w:t>
            </w:r>
            <w:r w:rsidR="003E2ECC" w:rsidRPr="003E2ECC">
              <w:t>uary 2019 that it had noted the terms of the Standards Commission’s decision in respect of the Hea</w:t>
            </w:r>
            <w:r w:rsidR="003E2ECC">
              <w:t>r</w:t>
            </w:r>
            <w:r w:rsidR="003E2ECC" w:rsidRPr="003E2ECC">
              <w:t>ing held on 19 November 2018.</w:t>
            </w:r>
          </w:p>
          <w:p w14:paraId="5D512B31" w14:textId="77777777" w:rsidR="003E2ECC" w:rsidRDefault="003E2ECC" w:rsidP="003E2ECC">
            <w:pPr>
              <w:pStyle w:val="NoSpacing"/>
              <w:tabs>
                <w:tab w:val="left" w:pos="0"/>
                <w:tab w:val="left" w:pos="362"/>
              </w:tabs>
              <w:rPr>
                <w:b/>
              </w:rPr>
            </w:pPr>
          </w:p>
          <w:p w14:paraId="243347B8" w14:textId="77777777" w:rsidR="00B97EDE" w:rsidRPr="00E76566" w:rsidRDefault="00B97EDE" w:rsidP="003E2ECC">
            <w:pPr>
              <w:pStyle w:val="NoSpacing"/>
              <w:numPr>
                <w:ilvl w:val="0"/>
                <w:numId w:val="35"/>
              </w:numPr>
              <w:tabs>
                <w:tab w:val="left" w:pos="0"/>
                <w:tab w:val="left" w:pos="362"/>
              </w:tabs>
              <w:ind w:left="0" w:firstLine="0"/>
              <w:rPr>
                <w:b/>
              </w:rPr>
            </w:pPr>
            <w:r>
              <w:rPr>
                <w:b/>
              </w:rPr>
              <w:t xml:space="preserve">LA/As/2173:  </w:t>
            </w:r>
            <w:r w:rsidRPr="003E2ECC">
              <w:t>Councillor Paul Johnston of Aberdeenshire Council</w:t>
            </w:r>
            <w:r w:rsidR="003E2ECC" w:rsidRPr="003E2ECC">
              <w:t>.</w:t>
            </w:r>
            <w:r w:rsidR="003E2ECC" w:rsidRPr="003E2ECC">
              <w:rPr>
                <w:b/>
              </w:rPr>
              <w:t xml:space="preserve">  </w:t>
            </w:r>
            <w:r w:rsidR="003E2ECC" w:rsidRPr="003E2ECC">
              <w:t>Members considered the report from the ESC and the terms of the Standards Commission’s policy on making decisions under Section 16 of the 2000 Act and determined that it was proportionate and in the public interest to hold a Hearing.</w:t>
            </w:r>
          </w:p>
          <w:p w14:paraId="3CE75D7C" w14:textId="37F9985A" w:rsidR="00E76566" w:rsidRPr="00281A0C" w:rsidRDefault="00E76566" w:rsidP="00E76566">
            <w:pPr>
              <w:pStyle w:val="NoSpacing"/>
              <w:tabs>
                <w:tab w:val="left" w:pos="0"/>
                <w:tab w:val="left" w:pos="362"/>
              </w:tabs>
              <w:rPr>
                <w:b/>
              </w:rPr>
            </w:pPr>
            <w:bookmarkStart w:id="0" w:name="_GoBack"/>
            <w:bookmarkEnd w:id="0"/>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661E383" w14:textId="77777777" w:rsidR="006A022E" w:rsidRDefault="006A022E" w:rsidP="006A022E">
            <w:pPr>
              <w:spacing w:after="0" w:line="240" w:lineRule="auto"/>
              <w:rPr>
                <w:rFonts w:cs="Calibri"/>
                <w:b/>
              </w:rPr>
            </w:pPr>
          </w:p>
          <w:p w14:paraId="0CAC96FD" w14:textId="77777777" w:rsidR="00F51826" w:rsidRDefault="00F51826" w:rsidP="006A022E">
            <w:pPr>
              <w:spacing w:after="0" w:line="240" w:lineRule="auto"/>
              <w:rPr>
                <w:rFonts w:cs="Calibri"/>
                <w:b/>
              </w:rPr>
            </w:pPr>
          </w:p>
          <w:p w14:paraId="4AA478C3" w14:textId="77777777" w:rsidR="00F51826" w:rsidRDefault="00F51826" w:rsidP="006A022E">
            <w:pPr>
              <w:spacing w:after="0" w:line="240" w:lineRule="auto"/>
              <w:rPr>
                <w:rFonts w:cs="Calibri"/>
                <w:b/>
              </w:rPr>
            </w:pPr>
          </w:p>
          <w:p w14:paraId="48D57B5F" w14:textId="54753800" w:rsidR="00F51826" w:rsidRDefault="00F51826" w:rsidP="006A022E">
            <w:pPr>
              <w:spacing w:after="0" w:line="240" w:lineRule="auto"/>
              <w:rPr>
                <w:rFonts w:cs="Calibri"/>
                <w:b/>
              </w:rPr>
            </w:pPr>
          </w:p>
          <w:p w14:paraId="2FF2355D" w14:textId="79F5F0B2" w:rsidR="003E2ECC" w:rsidRDefault="003E2ECC" w:rsidP="006A022E">
            <w:pPr>
              <w:spacing w:after="0" w:line="240" w:lineRule="auto"/>
              <w:rPr>
                <w:rFonts w:cs="Calibri"/>
                <w:b/>
              </w:rPr>
            </w:pPr>
          </w:p>
          <w:p w14:paraId="6B1FDA8B" w14:textId="400FE654" w:rsidR="003E2ECC" w:rsidRDefault="003E2ECC" w:rsidP="006A022E">
            <w:pPr>
              <w:spacing w:after="0" w:line="240" w:lineRule="auto"/>
              <w:rPr>
                <w:rFonts w:cs="Calibri"/>
                <w:b/>
              </w:rPr>
            </w:pPr>
          </w:p>
          <w:p w14:paraId="3D040AA5" w14:textId="5F192585" w:rsidR="003E2ECC" w:rsidRDefault="003E2ECC" w:rsidP="006A022E">
            <w:pPr>
              <w:spacing w:after="0" w:line="240" w:lineRule="auto"/>
              <w:rPr>
                <w:rFonts w:cs="Calibri"/>
                <w:b/>
              </w:rPr>
            </w:pPr>
          </w:p>
          <w:p w14:paraId="62C14764" w14:textId="2BDCACA2" w:rsidR="003E2ECC" w:rsidRDefault="003E2ECC" w:rsidP="006A022E">
            <w:pPr>
              <w:spacing w:after="0" w:line="240" w:lineRule="auto"/>
              <w:rPr>
                <w:rFonts w:cs="Calibri"/>
                <w:b/>
              </w:rPr>
            </w:pPr>
          </w:p>
          <w:p w14:paraId="4BD78C81" w14:textId="27361FE9" w:rsidR="003E2ECC" w:rsidRDefault="003E2ECC" w:rsidP="006A022E">
            <w:pPr>
              <w:spacing w:after="0" w:line="240" w:lineRule="auto"/>
              <w:rPr>
                <w:rFonts w:cs="Calibri"/>
                <w:b/>
              </w:rPr>
            </w:pPr>
          </w:p>
          <w:p w14:paraId="527E3F27" w14:textId="26B6F408" w:rsidR="00F51826" w:rsidRPr="006655E1" w:rsidRDefault="00D17354" w:rsidP="006A022E">
            <w:pPr>
              <w:spacing w:after="0" w:line="240" w:lineRule="auto"/>
              <w:rPr>
                <w:rFonts w:cs="Calibri"/>
                <w:b/>
              </w:rPr>
            </w:pPr>
            <w:r>
              <w:rPr>
                <w:rFonts w:cs="Calibri"/>
                <w:b/>
              </w:rPr>
              <w:t>E</w:t>
            </w:r>
            <w:r w:rsidR="003E2ECC" w:rsidRPr="003E2ECC">
              <w:rPr>
                <w:rFonts w:cs="Calibri"/>
                <w:b/>
              </w:rPr>
              <w:t>xecutive Team</w:t>
            </w:r>
          </w:p>
        </w:tc>
      </w:tr>
      <w:tr w:rsidR="006A022E" w:rsidRPr="000C0AF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6A022E" w:rsidRPr="007320EB" w:rsidRDefault="006A022E" w:rsidP="006A022E">
            <w:pPr>
              <w:spacing w:after="0" w:line="240" w:lineRule="auto"/>
              <w:rPr>
                <w:rFonts w:cs="Calibri"/>
                <w:b/>
              </w:rPr>
            </w:pPr>
            <w:r w:rsidRPr="007320EB">
              <w:rPr>
                <w:rFonts w:cs="Calibri"/>
                <w:b/>
              </w:rPr>
              <w:t>AOB</w:t>
            </w:r>
          </w:p>
        </w:tc>
      </w:tr>
      <w:tr w:rsidR="006A022E" w:rsidRPr="00C677CD" w14:paraId="71F82933" w14:textId="49C60F73" w:rsidTr="005B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19AF5638" w14:textId="275970AB" w:rsidR="006A022E" w:rsidRPr="00F60206" w:rsidRDefault="006A022E" w:rsidP="00F60206">
            <w:pPr>
              <w:pStyle w:val="ListParagraph"/>
              <w:numPr>
                <w:ilvl w:val="0"/>
                <w:numId w:val="38"/>
              </w:numPr>
              <w:spacing w:after="0" w:line="240" w:lineRule="auto"/>
              <w:rPr>
                <w:rFonts w:cs="Calibri"/>
                <w:b/>
              </w:rPr>
            </w:pPr>
          </w:p>
        </w:tc>
        <w:tc>
          <w:tcPr>
            <w:tcW w:w="8120" w:type="dxa"/>
            <w:gridSpan w:val="2"/>
            <w:shd w:val="clear" w:color="auto" w:fill="auto"/>
          </w:tcPr>
          <w:p w14:paraId="1F257B0C" w14:textId="11E53B3E" w:rsidR="003E2ECC" w:rsidRDefault="003E2ECC" w:rsidP="006A022E">
            <w:pPr>
              <w:spacing w:after="0" w:line="240" w:lineRule="auto"/>
              <w:rPr>
                <w:rFonts w:cs="Calibri"/>
                <w:b/>
              </w:rPr>
            </w:pPr>
            <w:r>
              <w:rPr>
                <w:rFonts w:cs="Calibri"/>
                <w:b/>
              </w:rPr>
              <w:t>SCOTTISH PARLIAMENT’</w:t>
            </w:r>
            <w:r w:rsidR="005B2FFA">
              <w:rPr>
                <w:rFonts w:cs="Calibri"/>
                <w:b/>
              </w:rPr>
              <w:t>S JOINT WORKING</w:t>
            </w:r>
            <w:r>
              <w:rPr>
                <w:rFonts w:cs="Calibri"/>
                <w:b/>
              </w:rPr>
              <w:t xml:space="preserve"> GROUP ON SEXUAL HARASSMENT</w:t>
            </w:r>
          </w:p>
          <w:p w14:paraId="7E8716E1" w14:textId="4370763C" w:rsidR="003E2ECC" w:rsidRDefault="003E2ECC" w:rsidP="006A022E">
            <w:pPr>
              <w:spacing w:after="0" w:line="240" w:lineRule="auto"/>
              <w:rPr>
                <w:rFonts w:cs="Calibri"/>
              </w:rPr>
            </w:pPr>
            <w:r w:rsidRPr="005B2FFA">
              <w:rPr>
                <w:rFonts w:cs="Calibri"/>
              </w:rPr>
              <w:t xml:space="preserve">The Convener advised that he had arranged </w:t>
            </w:r>
            <w:r w:rsidR="005B2FFA" w:rsidRPr="005B2FFA">
              <w:rPr>
                <w:rFonts w:cs="Calibri"/>
              </w:rPr>
              <w:t>to</w:t>
            </w:r>
            <w:r w:rsidRPr="005B2FFA">
              <w:rPr>
                <w:rFonts w:cs="Calibri"/>
              </w:rPr>
              <w:t xml:space="preserve"> meet the Parliament’</w:t>
            </w:r>
            <w:r w:rsidR="00850793">
              <w:rPr>
                <w:rFonts w:cs="Calibri"/>
              </w:rPr>
              <w:t>s</w:t>
            </w:r>
            <w:r w:rsidRPr="005B2FFA">
              <w:rPr>
                <w:rFonts w:cs="Calibri"/>
              </w:rPr>
              <w:t xml:space="preserve"> Chief Executive on 18 February 2019 to discuss the recommendations contained in the Joint Working Group’s repor</w:t>
            </w:r>
            <w:r w:rsidR="005B2FFA" w:rsidRPr="005B2FFA">
              <w:rPr>
                <w:rFonts w:cs="Calibri"/>
              </w:rPr>
              <w:t>t.  Members agreed that, in part</w:t>
            </w:r>
            <w:r w:rsidRPr="005B2FFA">
              <w:rPr>
                <w:rFonts w:cs="Calibri"/>
              </w:rPr>
              <w:t>icu</w:t>
            </w:r>
            <w:r w:rsidR="005B2FFA" w:rsidRPr="005B2FFA">
              <w:rPr>
                <w:rFonts w:cs="Calibri"/>
              </w:rPr>
              <w:t>la</w:t>
            </w:r>
            <w:r w:rsidRPr="005B2FFA">
              <w:rPr>
                <w:rFonts w:cs="Calibri"/>
              </w:rPr>
              <w:t xml:space="preserve">r, the Convener </w:t>
            </w:r>
            <w:r w:rsidR="005B2FFA" w:rsidRPr="005B2FFA">
              <w:rPr>
                <w:rFonts w:cs="Calibri"/>
              </w:rPr>
              <w:t>should draw the Parliament’s attention to the fact that it was the Standards Commission and not the ESC who had the powers to</w:t>
            </w:r>
            <w:r w:rsidR="005B2FFA" w:rsidRPr="005B2FFA">
              <w:t xml:space="preserve"> </w:t>
            </w:r>
            <w:r w:rsidR="005B2FFA" w:rsidRPr="005B2FFA">
              <w:rPr>
                <w:rFonts w:cs="Calibri"/>
              </w:rPr>
              <w:t xml:space="preserve">require individuals to attend Hearings, give evidence and produce documents and also to administer oaths to witnesses. </w:t>
            </w:r>
            <w:r w:rsidRPr="005B2FFA">
              <w:rPr>
                <w:rFonts w:cs="Calibri"/>
              </w:rPr>
              <w:t xml:space="preserve"> </w:t>
            </w:r>
            <w:r w:rsidR="005B2FFA" w:rsidRPr="005B2FFA">
              <w:rPr>
                <w:rFonts w:cs="Calibri"/>
              </w:rPr>
              <w:t xml:space="preserve">The Convener should also raise the potential difficulties involved in dealing with sexual harassment complaints in a different way to other complaints.  The Convener advised </w:t>
            </w:r>
            <w:r w:rsidR="005B2FFA">
              <w:rPr>
                <w:rFonts w:cs="Calibri"/>
              </w:rPr>
              <w:t>tha</w:t>
            </w:r>
            <w:r w:rsidR="005B2FFA" w:rsidRPr="005B2FFA">
              <w:rPr>
                <w:rFonts w:cs="Calibri"/>
              </w:rPr>
              <w:t>t he would</w:t>
            </w:r>
            <w:r w:rsidR="005B2FFA">
              <w:rPr>
                <w:rFonts w:cs="Calibri"/>
              </w:rPr>
              <w:t xml:space="preserve"> </w:t>
            </w:r>
            <w:r w:rsidR="005B2FFA" w:rsidRPr="005B2FFA">
              <w:rPr>
                <w:rFonts w:cs="Calibri"/>
              </w:rPr>
              <w:t>report on the discussions at the next meeting.</w:t>
            </w:r>
          </w:p>
          <w:p w14:paraId="67736810" w14:textId="516C2DDD" w:rsidR="005B2FFA" w:rsidRDefault="005B2FFA" w:rsidP="006A022E">
            <w:pPr>
              <w:spacing w:after="0" w:line="240" w:lineRule="auto"/>
              <w:rPr>
                <w:rFonts w:cs="Calibri"/>
              </w:rPr>
            </w:pPr>
          </w:p>
          <w:p w14:paraId="3E286162" w14:textId="694074DA" w:rsidR="005B2FFA" w:rsidRPr="005B2FFA" w:rsidRDefault="005B2FFA" w:rsidP="006A022E">
            <w:pPr>
              <w:spacing w:after="0" w:line="240" w:lineRule="auto"/>
              <w:rPr>
                <w:rFonts w:cs="Calibri"/>
                <w:b/>
              </w:rPr>
            </w:pPr>
            <w:r w:rsidRPr="005B2FFA">
              <w:rPr>
                <w:rFonts w:cs="Calibri"/>
                <w:b/>
              </w:rPr>
              <w:t>MRS GALLANDERS</w:t>
            </w:r>
          </w:p>
          <w:p w14:paraId="68CFCB46" w14:textId="366E689C" w:rsidR="005B2FFA" w:rsidRPr="005B2FFA" w:rsidRDefault="005B2FFA" w:rsidP="006A022E">
            <w:pPr>
              <w:spacing w:after="0" w:line="240" w:lineRule="auto"/>
              <w:rPr>
                <w:rFonts w:cs="Calibri"/>
              </w:rPr>
            </w:pPr>
            <w:r>
              <w:rPr>
                <w:rFonts w:cs="Calibri"/>
              </w:rPr>
              <w:t>Members noted that it was Mrs Gallanders’ last meeting before her tenure as a Member of the Standards Commission came to an end.  The Convener thanked Mrs Gallanders, on behalf of the other Members and staff, for her hard work and commitment to the organisation.  In particular,</w:t>
            </w:r>
            <w:r w:rsidR="00AA1AD0">
              <w:rPr>
                <w:rFonts w:cs="Calibri"/>
              </w:rPr>
              <w:t xml:space="preserve"> </w:t>
            </w:r>
            <w:r>
              <w:rPr>
                <w:rFonts w:cs="Calibri"/>
              </w:rPr>
              <w:t>the Convener noted that Mrs Gallanders collegiate approach and willingness to provide assistance had helped ensure that there had been a smooth transition when the Executive Director and new Members had been appointed.  Members agreed that Mrs Gallanders had made a substantial contribution to the organisation and that it had made significant progress during her tenure.  Members thanked Mrs Gallanders for her support and dedication.</w:t>
            </w:r>
          </w:p>
          <w:p w14:paraId="6967DBDD" w14:textId="77777777" w:rsidR="003E2ECC" w:rsidRDefault="003E2ECC" w:rsidP="006A022E">
            <w:pPr>
              <w:spacing w:after="0" w:line="240" w:lineRule="auto"/>
              <w:rPr>
                <w:rFonts w:cs="Calibri"/>
                <w:b/>
              </w:rPr>
            </w:pPr>
          </w:p>
          <w:p w14:paraId="4A68BFFB" w14:textId="1F85C1C8" w:rsidR="006A022E" w:rsidRPr="000D6AC7" w:rsidRDefault="006A022E" w:rsidP="006A022E">
            <w:pPr>
              <w:spacing w:after="0" w:line="240" w:lineRule="auto"/>
              <w:rPr>
                <w:rFonts w:cs="Calibri"/>
                <w:b/>
              </w:rPr>
            </w:pPr>
            <w:r w:rsidRPr="000D6AC7">
              <w:rPr>
                <w:rFonts w:cs="Calibri"/>
                <w:b/>
              </w:rPr>
              <w:t>AGENDA ITEMS FOR NEXT MEETING</w:t>
            </w:r>
          </w:p>
          <w:p w14:paraId="56B38FD5" w14:textId="31F236CF" w:rsidR="00471C36" w:rsidRPr="000D6AC7" w:rsidRDefault="00100511" w:rsidP="006A022E">
            <w:pPr>
              <w:spacing w:after="0" w:line="240" w:lineRule="auto"/>
              <w:rPr>
                <w:rFonts w:cs="Calibri"/>
              </w:rPr>
            </w:pPr>
            <w:r w:rsidRPr="000D6AC7">
              <w:rPr>
                <w:rFonts w:cs="Calibri"/>
              </w:rPr>
              <w:t xml:space="preserve">Members agreed to advise the Executive Director of any items they wished included in the agenda for </w:t>
            </w:r>
            <w:r w:rsidR="000D6AC7" w:rsidRPr="000D6AC7">
              <w:rPr>
                <w:rFonts w:cs="Calibri"/>
              </w:rPr>
              <w:t xml:space="preserve">discuss at </w:t>
            </w:r>
            <w:r w:rsidRPr="000D6AC7">
              <w:rPr>
                <w:rFonts w:cs="Calibri"/>
              </w:rPr>
              <w:t>the next meeting.</w:t>
            </w:r>
          </w:p>
          <w:p w14:paraId="6F929CF2" w14:textId="3DBB19B3" w:rsidR="00E92E0A" w:rsidRPr="000D6AC7" w:rsidRDefault="00E92E0A" w:rsidP="00F60206">
            <w:pPr>
              <w:spacing w:after="0" w:line="240" w:lineRule="auto"/>
              <w:rPr>
                <w:rFonts w:cs="Calibri"/>
                <w:b/>
              </w:rPr>
            </w:pPr>
          </w:p>
        </w:tc>
        <w:tc>
          <w:tcPr>
            <w:tcW w:w="1378" w:type="dxa"/>
            <w:gridSpan w:val="2"/>
            <w:shd w:val="clear" w:color="auto" w:fill="auto"/>
          </w:tcPr>
          <w:p w14:paraId="5B2298FB" w14:textId="1E7FD1C1" w:rsidR="006A022E" w:rsidRDefault="006A022E" w:rsidP="006A022E">
            <w:pPr>
              <w:spacing w:after="0" w:line="240" w:lineRule="auto"/>
              <w:rPr>
                <w:rFonts w:cs="Calibri"/>
                <w:b/>
              </w:rPr>
            </w:pPr>
          </w:p>
          <w:p w14:paraId="289E8865" w14:textId="64E355C5" w:rsidR="005B2FFA" w:rsidRDefault="005B2FFA" w:rsidP="006A022E">
            <w:pPr>
              <w:spacing w:after="0" w:line="240" w:lineRule="auto"/>
              <w:rPr>
                <w:rFonts w:cs="Calibri"/>
                <w:b/>
              </w:rPr>
            </w:pPr>
          </w:p>
          <w:p w14:paraId="005E408F" w14:textId="3ADF6732" w:rsidR="005B2FFA" w:rsidRDefault="005B2FFA" w:rsidP="006A022E">
            <w:pPr>
              <w:spacing w:after="0" w:line="240" w:lineRule="auto"/>
              <w:rPr>
                <w:rFonts w:cs="Calibri"/>
                <w:b/>
              </w:rPr>
            </w:pPr>
          </w:p>
          <w:p w14:paraId="2786BA51" w14:textId="76A66C6C" w:rsidR="005B2FFA" w:rsidRDefault="005B2FFA" w:rsidP="006A022E">
            <w:pPr>
              <w:spacing w:after="0" w:line="240" w:lineRule="auto"/>
              <w:rPr>
                <w:rFonts w:cs="Calibri"/>
                <w:b/>
              </w:rPr>
            </w:pPr>
          </w:p>
          <w:p w14:paraId="699A5182" w14:textId="6035E62E" w:rsidR="005B2FFA" w:rsidRDefault="005B2FFA" w:rsidP="006A022E">
            <w:pPr>
              <w:spacing w:after="0" w:line="240" w:lineRule="auto"/>
              <w:rPr>
                <w:rFonts w:cs="Calibri"/>
                <w:b/>
              </w:rPr>
            </w:pPr>
          </w:p>
          <w:p w14:paraId="0ECC5984" w14:textId="5092D885" w:rsidR="005B2FFA" w:rsidRDefault="005B2FFA" w:rsidP="006A022E">
            <w:pPr>
              <w:spacing w:after="0" w:line="240" w:lineRule="auto"/>
              <w:rPr>
                <w:rFonts w:cs="Calibri"/>
                <w:b/>
              </w:rPr>
            </w:pPr>
          </w:p>
          <w:p w14:paraId="2C894FAB" w14:textId="2AC2156F" w:rsidR="005B2FFA" w:rsidRDefault="005B2FFA" w:rsidP="006A022E">
            <w:pPr>
              <w:spacing w:after="0" w:line="240" w:lineRule="auto"/>
              <w:rPr>
                <w:rFonts w:cs="Calibri"/>
                <w:b/>
              </w:rPr>
            </w:pPr>
          </w:p>
          <w:p w14:paraId="72BD13A5" w14:textId="5AA7965A" w:rsidR="005B2FFA" w:rsidRDefault="005B2FFA" w:rsidP="006A022E">
            <w:pPr>
              <w:spacing w:after="0" w:line="240" w:lineRule="auto"/>
              <w:rPr>
                <w:rFonts w:cs="Calibri"/>
                <w:b/>
              </w:rPr>
            </w:pPr>
          </w:p>
          <w:p w14:paraId="6A3FECCF" w14:textId="6BB9BCF3" w:rsidR="005B2FFA" w:rsidRDefault="005B2FFA" w:rsidP="006A022E">
            <w:pPr>
              <w:spacing w:after="0" w:line="240" w:lineRule="auto"/>
              <w:rPr>
                <w:rFonts w:cs="Calibri"/>
                <w:b/>
              </w:rPr>
            </w:pPr>
            <w:r>
              <w:rPr>
                <w:rFonts w:cs="Calibri"/>
                <w:b/>
              </w:rPr>
              <w:t>CONVENER</w:t>
            </w:r>
          </w:p>
          <w:p w14:paraId="3E762ED6" w14:textId="1A696AE7" w:rsidR="006A022E" w:rsidRDefault="006A022E" w:rsidP="006A022E">
            <w:pPr>
              <w:spacing w:after="0" w:line="240" w:lineRule="auto"/>
              <w:rPr>
                <w:rFonts w:cs="Calibri"/>
                <w:b/>
              </w:rPr>
            </w:pPr>
          </w:p>
          <w:p w14:paraId="06B97B09" w14:textId="77777777" w:rsidR="009B1762" w:rsidRDefault="009B1762" w:rsidP="006A022E">
            <w:pPr>
              <w:spacing w:after="0" w:line="240" w:lineRule="auto"/>
              <w:rPr>
                <w:rFonts w:cs="Calibri"/>
                <w:b/>
              </w:rPr>
            </w:pPr>
          </w:p>
          <w:p w14:paraId="15D6F16A" w14:textId="34531E10" w:rsidR="006A022E" w:rsidRPr="0037665D" w:rsidRDefault="006A022E" w:rsidP="006A022E">
            <w:pPr>
              <w:spacing w:after="0" w:line="240" w:lineRule="auto"/>
              <w:rPr>
                <w:rFonts w:cs="Calibri"/>
                <w:b/>
              </w:rPr>
            </w:pPr>
          </w:p>
        </w:tc>
      </w:tr>
      <w:tr w:rsidR="00067DEB" w:rsidRPr="00C677CD" w14:paraId="51304F63" w14:textId="77777777" w:rsidTr="005B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296CC8CF" w14:textId="55585965" w:rsidR="00067DEB" w:rsidRPr="00F60206" w:rsidRDefault="00067DEB" w:rsidP="00F60206">
            <w:pPr>
              <w:pStyle w:val="ListParagraph"/>
              <w:numPr>
                <w:ilvl w:val="0"/>
                <w:numId w:val="38"/>
              </w:numPr>
              <w:spacing w:after="0" w:line="240" w:lineRule="auto"/>
              <w:rPr>
                <w:rFonts w:cs="Calibri"/>
                <w:b/>
              </w:rPr>
            </w:pPr>
          </w:p>
        </w:tc>
        <w:tc>
          <w:tcPr>
            <w:tcW w:w="8120" w:type="dxa"/>
            <w:gridSpan w:val="2"/>
            <w:shd w:val="clear" w:color="auto" w:fill="auto"/>
          </w:tcPr>
          <w:p w14:paraId="0EE9F719" w14:textId="70ECA779" w:rsidR="00067DEB" w:rsidRPr="00067DEB" w:rsidRDefault="00067DEB" w:rsidP="006A022E">
            <w:pPr>
              <w:spacing w:after="0" w:line="240" w:lineRule="auto"/>
              <w:rPr>
                <w:rFonts w:cs="Calibri"/>
              </w:rPr>
            </w:pPr>
            <w:r>
              <w:rPr>
                <w:rFonts w:cs="Calibri"/>
                <w:b/>
              </w:rPr>
              <w:t>SUGGESTED 2019</w:t>
            </w:r>
            <w:r w:rsidR="00F34CFF">
              <w:rPr>
                <w:rFonts w:cs="Calibri"/>
                <w:b/>
              </w:rPr>
              <w:t>/202</w:t>
            </w:r>
            <w:r>
              <w:rPr>
                <w:rFonts w:cs="Calibri"/>
                <w:b/>
              </w:rPr>
              <w:t>0 DIARY DATES – MEETING SCHEDULE</w:t>
            </w:r>
          </w:p>
          <w:p w14:paraId="20CECF6B" w14:textId="2DC70A6E" w:rsidR="00100511" w:rsidRDefault="005603C0" w:rsidP="006A022E">
            <w:pPr>
              <w:spacing w:after="0" w:line="240" w:lineRule="auto"/>
              <w:rPr>
                <w:rFonts w:cs="Calibri"/>
              </w:rPr>
            </w:pPr>
            <w:r>
              <w:rPr>
                <w:rFonts w:cs="Calibri"/>
              </w:rPr>
              <w:t xml:space="preserve">Members </w:t>
            </w:r>
            <w:r w:rsidR="00100511">
              <w:rPr>
                <w:rFonts w:cs="Calibri"/>
              </w:rPr>
              <w:t>noted the suggested</w:t>
            </w:r>
            <w:r>
              <w:rPr>
                <w:rFonts w:cs="Calibri"/>
              </w:rPr>
              <w:t xml:space="preserve"> dates for Standards Commission meetings in 2019/20</w:t>
            </w:r>
            <w:r w:rsidR="00100511">
              <w:rPr>
                <w:rFonts w:cs="Calibri"/>
              </w:rPr>
              <w:t xml:space="preserve"> and confirmed they would advise the Executive Team if they wished to change any of these.</w:t>
            </w:r>
          </w:p>
          <w:p w14:paraId="47E7E8F7" w14:textId="77777777" w:rsidR="00F60206" w:rsidRDefault="00F60206" w:rsidP="006A022E">
            <w:pPr>
              <w:spacing w:after="0" w:line="240" w:lineRule="auto"/>
              <w:rPr>
                <w:rFonts w:cs="Calibri"/>
              </w:rPr>
            </w:pPr>
          </w:p>
          <w:p w14:paraId="1CB59AAA" w14:textId="77777777" w:rsidR="00F60206" w:rsidRPr="003E3922" w:rsidRDefault="00F60206" w:rsidP="00F60206">
            <w:pPr>
              <w:spacing w:after="0" w:line="240" w:lineRule="auto"/>
              <w:rPr>
                <w:rFonts w:cs="Calibri"/>
              </w:rPr>
            </w:pPr>
            <w:r>
              <w:rPr>
                <w:rFonts w:cs="Calibri"/>
                <w:b/>
              </w:rPr>
              <w:t>2018 WORKPLAN</w:t>
            </w:r>
          </w:p>
          <w:p w14:paraId="7DFB2BAB" w14:textId="270F7D42" w:rsidR="00F60206" w:rsidRDefault="00F60206" w:rsidP="00F60206">
            <w:pPr>
              <w:spacing w:after="0" w:line="240" w:lineRule="auto"/>
              <w:rPr>
                <w:rFonts w:cs="Calibri"/>
              </w:rPr>
            </w:pPr>
            <w:r w:rsidRPr="007B7237">
              <w:rPr>
                <w:rFonts w:cs="Calibri"/>
              </w:rPr>
              <w:t>Members noted the planned activities.</w:t>
            </w:r>
          </w:p>
          <w:p w14:paraId="1845186F" w14:textId="77777777" w:rsidR="00F60206" w:rsidRDefault="00F60206" w:rsidP="00F60206">
            <w:pPr>
              <w:spacing w:after="0" w:line="240" w:lineRule="auto"/>
              <w:rPr>
                <w:rFonts w:cs="Calibri"/>
              </w:rPr>
            </w:pPr>
          </w:p>
          <w:p w14:paraId="310BA6EC" w14:textId="77777777" w:rsidR="00F60206" w:rsidRDefault="00F60206" w:rsidP="00F60206">
            <w:pPr>
              <w:spacing w:after="0" w:line="240" w:lineRule="auto"/>
              <w:rPr>
                <w:rFonts w:cs="Calibri"/>
              </w:rPr>
            </w:pPr>
            <w:r w:rsidRPr="007320EB">
              <w:rPr>
                <w:rFonts w:cs="Calibri"/>
                <w:b/>
              </w:rPr>
              <w:t>DATE OF NEXT MEETING</w:t>
            </w:r>
            <w:r>
              <w:rPr>
                <w:rFonts w:cs="Calibri"/>
              </w:rPr>
              <w:t xml:space="preserve"> </w:t>
            </w:r>
          </w:p>
          <w:p w14:paraId="0E550F4D" w14:textId="4C06843B" w:rsidR="00F60206" w:rsidRDefault="00F60206" w:rsidP="00F60206">
            <w:pPr>
              <w:spacing w:after="0" w:line="240" w:lineRule="auto"/>
              <w:rPr>
                <w:rFonts w:cs="Calibri"/>
              </w:rPr>
            </w:pPr>
            <w:r>
              <w:rPr>
                <w:rFonts w:cs="Calibri"/>
              </w:rPr>
              <w:t>Members noted that t</w:t>
            </w:r>
            <w:r w:rsidRPr="007320EB">
              <w:rPr>
                <w:rFonts w:cs="Calibri"/>
              </w:rPr>
              <w: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to take place on</w:t>
            </w:r>
            <w:r w:rsidRPr="00434D5F">
              <w:rPr>
                <w:rFonts w:cs="Calibri"/>
              </w:rPr>
              <w:t xml:space="preserve"> </w:t>
            </w:r>
            <w:r>
              <w:rPr>
                <w:rFonts w:cs="Calibri"/>
              </w:rPr>
              <w:t>Monday, 25 February 2019</w:t>
            </w:r>
            <w:r w:rsidRPr="00434D5F">
              <w:rPr>
                <w:rFonts w:cs="Calibri"/>
              </w:rPr>
              <w:t>.</w:t>
            </w:r>
            <w:r>
              <w:rPr>
                <w:rFonts w:cs="Calibri"/>
              </w:rPr>
              <w:t xml:space="preserve"> </w:t>
            </w:r>
          </w:p>
          <w:p w14:paraId="4D607415" w14:textId="0C7C847F" w:rsidR="00067DEB" w:rsidRPr="00067DEB" w:rsidRDefault="00067DEB" w:rsidP="006A022E">
            <w:pPr>
              <w:spacing w:after="0" w:line="240" w:lineRule="auto"/>
              <w:rPr>
                <w:rFonts w:cs="Calibri"/>
              </w:rPr>
            </w:pPr>
          </w:p>
        </w:tc>
        <w:tc>
          <w:tcPr>
            <w:tcW w:w="1378" w:type="dxa"/>
            <w:gridSpan w:val="2"/>
            <w:shd w:val="clear" w:color="auto" w:fill="auto"/>
          </w:tcPr>
          <w:p w14:paraId="3BFA25B1" w14:textId="77777777" w:rsidR="00067DEB" w:rsidRDefault="00067DEB" w:rsidP="006A022E">
            <w:pPr>
              <w:spacing w:after="0" w:line="240" w:lineRule="auto"/>
              <w:rPr>
                <w:rFonts w:cs="Calibri"/>
                <w:b/>
              </w:rPr>
            </w:pPr>
          </w:p>
          <w:p w14:paraId="121DE6C1" w14:textId="77777777" w:rsidR="00067DEB" w:rsidRDefault="00067DEB" w:rsidP="006A022E">
            <w:pPr>
              <w:spacing w:after="0" w:line="240" w:lineRule="auto"/>
              <w:rPr>
                <w:rFonts w:cs="Calibri"/>
                <w:b/>
              </w:rPr>
            </w:pPr>
          </w:p>
          <w:p w14:paraId="08521D07" w14:textId="3BFDC93C" w:rsidR="00067DEB" w:rsidRDefault="00067DEB" w:rsidP="006A022E">
            <w:pPr>
              <w:spacing w:after="0" w:line="240" w:lineRule="auto"/>
              <w:rPr>
                <w:rFonts w:cs="Calibri"/>
                <w:b/>
              </w:rPr>
            </w:pPr>
          </w:p>
        </w:tc>
      </w:tr>
    </w:tbl>
    <w:p w14:paraId="4A5465BC" w14:textId="1491A646" w:rsidR="0052545A" w:rsidRPr="00FC1D77" w:rsidRDefault="0052545A" w:rsidP="00FC1D77"/>
    <w:sectPr w:rsidR="0052545A" w:rsidRPr="00FC1D77" w:rsidSect="007B3CFF">
      <w:headerReference w:type="default" r:id="rId8"/>
      <w:headerReference w:type="first" r:id="rId9"/>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3833" w14:textId="77777777" w:rsidR="00152D9C" w:rsidRDefault="00152D9C" w:rsidP="0052545A">
      <w:pPr>
        <w:spacing w:after="0" w:line="240" w:lineRule="auto"/>
      </w:pPr>
      <w:r>
        <w:separator/>
      </w:r>
    </w:p>
  </w:endnote>
  <w:endnote w:type="continuationSeparator" w:id="0">
    <w:p w14:paraId="75703C2D" w14:textId="77777777" w:rsidR="00152D9C" w:rsidRDefault="00152D9C"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96DF" w14:textId="77777777" w:rsidR="00152D9C" w:rsidRDefault="00152D9C" w:rsidP="0052545A">
      <w:pPr>
        <w:spacing w:after="0" w:line="240" w:lineRule="auto"/>
      </w:pPr>
      <w:r>
        <w:separator/>
      </w:r>
    </w:p>
  </w:footnote>
  <w:footnote w:type="continuationSeparator" w:id="0">
    <w:p w14:paraId="29CB8614" w14:textId="77777777" w:rsidR="00152D9C" w:rsidRDefault="00152D9C"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4E88" w14:textId="2ECABA06" w:rsidR="00EF1970" w:rsidRDefault="00EF1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38675897" w:rsidR="00DF036C" w:rsidRDefault="00DF036C"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DF036C" w:rsidRPr="00C677CD" w14:paraId="760E12B9" w14:textId="77777777" w:rsidTr="00ED5BF7">
      <w:tc>
        <w:tcPr>
          <w:tcW w:w="5070" w:type="dxa"/>
          <w:shd w:val="clear" w:color="auto" w:fill="auto"/>
          <w:hideMark/>
        </w:tcPr>
        <w:p w14:paraId="4087690C" w14:textId="77777777" w:rsidR="00DF036C" w:rsidRPr="00C677CD" w:rsidRDefault="00DF036C">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DF036C" w:rsidRPr="00C677CD" w:rsidRDefault="00DF036C">
          <w:pPr>
            <w:pStyle w:val="Header"/>
            <w:rPr>
              <w:b/>
              <w:sz w:val="44"/>
            </w:rPr>
          </w:pPr>
        </w:p>
        <w:p w14:paraId="14AAC32B" w14:textId="36FCF0EA" w:rsidR="00DF036C" w:rsidRPr="00C677CD" w:rsidRDefault="00DF036C" w:rsidP="00ED5BF7">
          <w:pPr>
            <w:pStyle w:val="Header"/>
            <w:ind w:firstLine="597"/>
            <w:jc w:val="right"/>
          </w:pPr>
        </w:p>
      </w:tc>
    </w:tr>
  </w:tbl>
  <w:p w14:paraId="14F135B3" w14:textId="77777777" w:rsidR="00DF036C" w:rsidRDefault="00DF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22E81"/>
    <w:multiLevelType w:val="hybridMultilevel"/>
    <w:tmpl w:val="B4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7286"/>
    <w:multiLevelType w:val="hybridMultilevel"/>
    <w:tmpl w:val="B8F2C3FA"/>
    <w:lvl w:ilvl="0" w:tplc="12E0978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07DA1"/>
    <w:multiLevelType w:val="hybridMultilevel"/>
    <w:tmpl w:val="C616D9F4"/>
    <w:lvl w:ilvl="0" w:tplc="F5EE6772">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F24FA"/>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ADB7C8B"/>
    <w:multiLevelType w:val="hybridMultilevel"/>
    <w:tmpl w:val="729A02AA"/>
    <w:lvl w:ilvl="0" w:tplc="BC3A9A2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4" w15:restartNumberingAfterBreak="0">
    <w:nsid w:val="2BB213B9"/>
    <w:multiLevelType w:val="hybridMultilevel"/>
    <w:tmpl w:val="680649EE"/>
    <w:lvl w:ilvl="0" w:tplc="873A5F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532C9"/>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432855"/>
    <w:multiLevelType w:val="hybridMultilevel"/>
    <w:tmpl w:val="72D28498"/>
    <w:lvl w:ilvl="0" w:tplc="87A070AA">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C4A96"/>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73949"/>
    <w:multiLevelType w:val="hybridMultilevel"/>
    <w:tmpl w:val="0BE47E22"/>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24" w15:restartNumberingAfterBreak="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52591D"/>
    <w:multiLevelType w:val="hybridMultilevel"/>
    <w:tmpl w:val="C0D0A286"/>
    <w:lvl w:ilvl="0" w:tplc="CE22A40A">
      <w:start w:val="1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6D4F03"/>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D138D"/>
    <w:multiLevelType w:val="hybridMultilevel"/>
    <w:tmpl w:val="9A4A7B60"/>
    <w:lvl w:ilvl="0" w:tplc="BC3A9A2C">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223AE9"/>
    <w:multiLevelType w:val="hybridMultilevel"/>
    <w:tmpl w:val="6CE03AEA"/>
    <w:lvl w:ilvl="0" w:tplc="A7A4C768">
      <w:start w:val="6"/>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9E354F"/>
    <w:multiLevelType w:val="hybridMultilevel"/>
    <w:tmpl w:val="AE1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C2670"/>
    <w:multiLevelType w:val="hybridMultilevel"/>
    <w:tmpl w:val="E72A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F7EB4"/>
    <w:multiLevelType w:val="hybridMultilevel"/>
    <w:tmpl w:val="7ABE4F2A"/>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0562A"/>
    <w:multiLevelType w:val="hybridMultilevel"/>
    <w:tmpl w:val="852677F0"/>
    <w:lvl w:ilvl="0" w:tplc="6EB6B82A">
      <w:start w:val="1"/>
      <w:numFmt w:val="lowerLetter"/>
      <w:lvlText w:val="%1)"/>
      <w:lvlJc w:val="left"/>
      <w:pPr>
        <w:ind w:left="400" w:hanging="360"/>
      </w:pPr>
      <w:rPr>
        <w:rFonts w:hint="default"/>
        <w:b/>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4" w15:restartNumberingAfterBreak="0">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F17D3D"/>
    <w:multiLevelType w:val="hybridMultilevel"/>
    <w:tmpl w:val="E67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92D4F"/>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4"/>
  </w:num>
  <w:num w:numId="3">
    <w:abstractNumId w:val="10"/>
  </w:num>
  <w:num w:numId="4">
    <w:abstractNumId w:val="30"/>
  </w:num>
  <w:num w:numId="5">
    <w:abstractNumId w:val="16"/>
  </w:num>
  <w:num w:numId="6">
    <w:abstractNumId w:val="20"/>
  </w:num>
  <w:num w:numId="7">
    <w:abstractNumId w:val="36"/>
  </w:num>
  <w:num w:numId="8">
    <w:abstractNumId w:val="32"/>
  </w:num>
  <w:num w:numId="9">
    <w:abstractNumId w:val="8"/>
  </w:num>
  <w:num w:numId="10">
    <w:abstractNumId w:val="15"/>
  </w:num>
  <w:num w:numId="11">
    <w:abstractNumId w:val="13"/>
  </w:num>
  <w:num w:numId="12">
    <w:abstractNumId w:val="26"/>
  </w:num>
  <w:num w:numId="13">
    <w:abstractNumId w:val="23"/>
  </w:num>
  <w:num w:numId="14">
    <w:abstractNumId w:val="18"/>
  </w:num>
  <w:num w:numId="15">
    <w:abstractNumId w:val="5"/>
  </w:num>
  <w:num w:numId="16">
    <w:abstractNumId w:val="34"/>
  </w:num>
  <w:num w:numId="17">
    <w:abstractNumId w:val="7"/>
  </w:num>
  <w:num w:numId="18">
    <w:abstractNumId w:val="21"/>
  </w:num>
  <w:num w:numId="19">
    <w:abstractNumId w:val="12"/>
  </w:num>
  <w:num w:numId="20">
    <w:abstractNumId w:val="3"/>
  </w:num>
  <w:num w:numId="21">
    <w:abstractNumId w:val="0"/>
  </w:num>
  <w:num w:numId="22">
    <w:abstractNumId w:val="1"/>
  </w:num>
  <w:num w:numId="23">
    <w:abstractNumId w:val="35"/>
  </w:num>
  <w:num w:numId="24">
    <w:abstractNumId w:val="6"/>
  </w:num>
  <w:num w:numId="25">
    <w:abstractNumId w:val="29"/>
  </w:num>
  <w:num w:numId="26">
    <w:abstractNumId w:val="14"/>
  </w:num>
  <w:num w:numId="27">
    <w:abstractNumId w:val="17"/>
  </w:num>
  <w:num w:numId="28">
    <w:abstractNumId w:val="28"/>
  </w:num>
  <w:num w:numId="29">
    <w:abstractNumId w:val="37"/>
  </w:num>
  <w:num w:numId="30">
    <w:abstractNumId w:val="2"/>
  </w:num>
  <w:num w:numId="31">
    <w:abstractNumId w:val="31"/>
  </w:num>
  <w:num w:numId="32">
    <w:abstractNumId w:val="11"/>
  </w:num>
  <w:num w:numId="33">
    <w:abstractNumId w:val="33"/>
  </w:num>
  <w:num w:numId="34">
    <w:abstractNumId w:val="4"/>
  </w:num>
  <w:num w:numId="35">
    <w:abstractNumId w:val="22"/>
  </w:num>
  <w:num w:numId="36">
    <w:abstractNumId w:val="27"/>
  </w:num>
  <w:num w:numId="37">
    <w:abstractNumId w:val="25"/>
  </w:num>
  <w:num w:numId="3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8F2"/>
    <w:rsid w:val="00020F14"/>
    <w:rsid w:val="00022949"/>
    <w:rsid w:val="00024905"/>
    <w:rsid w:val="00024C1B"/>
    <w:rsid w:val="00024E4B"/>
    <w:rsid w:val="0002594D"/>
    <w:rsid w:val="000302A3"/>
    <w:rsid w:val="00033496"/>
    <w:rsid w:val="00033516"/>
    <w:rsid w:val="00035552"/>
    <w:rsid w:val="000362C6"/>
    <w:rsid w:val="0004038E"/>
    <w:rsid w:val="00041C70"/>
    <w:rsid w:val="00042E97"/>
    <w:rsid w:val="00053118"/>
    <w:rsid w:val="00053563"/>
    <w:rsid w:val="000540C4"/>
    <w:rsid w:val="00055DB2"/>
    <w:rsid w:val="000605EC"/>
    <w:rsid w:val="00061CB9"/>
    <w:rsid w:val="00063627"/>
    <w:rsid w:val="0006378E"/>
    <w:rsid w:val="000643B0"/>
    <w:rsid w:val="00064931"/>
    <w:rsid w:val="00064DB8"/>
    <w:rsid w:val="00066122"/>
    <w:rsid w:val="00067621"/>
    <w:rsid w:val="00067DEB"/>
    <w:rsid w:val="00071237"/>
    <w:rsid w:val="00074E47"/>
    <w:rsid w:val="0007567E"/>
    <w:rsid w:val="00075964"/>
    <w:rsid w:val="000761A2"/>
    <w:rsid w:val="00076CFD"/>
    <w:rsid w:val="00077290"/>
    <w:rsid w:val="0008054D"/>
    <w:rsid w:val="00080F06"/>
    <w:rsid w:val="0008242A"/>
    <w:rsid w:val="00084D66"/>
    <w:rsid w:val="00085485"/>
    <w:rsid w:val="00085CDA"/>
    <w:rsid w:val="00086338"/>
    <w:rsid w:val="00086C19"/>
    <w:rsid w:val="0008720C"/>
    <w:rsid w:val="00090976"/>
    <w:rsid w:val="00091577"/>
    <w:rsid w:val="000929F8"/>
    <w:rsid w:val="00095357"/>
    <w:rsid w:val="00095A78"/>
    <w:rsid w:val="00097FDE"/>
    <w:rsid w:val="000A0139"/>
    <w:rsid w:val="000A0C02"/>
    <w:rsid w:val="000A253D"/>
    <w:rsid w:val="000A4B0E"/>
    <w:rsid w:val="000A5C10"/>
    <w:rsid w:val="000A5FAF"/>
    <w:rsid w:val="000A7700"/>
    <w:rsid w:val="000A7D21"/>
    <w:rsid w:val="000B03D4"/>
    <w:rsid w:val="000B0ABB"/>
    <w:rsid w:val="000B62BB"/>
    <w:rsid w:val="000C0AF8"/>
    <w:rsid w:val="000C17CB"/>
    <w:rsid w:val="000C2137"/>
    <w:rsid w:val="000C4314"/>
    <w:rsid w:val="000C62B2"/>
    <w:rsid w:val="000C7555"/>
    <w:rsid w:val="000D12F1"/>
    <w:rsid w:val="000D5550"/>
    <w:rsid w:val="000D5E27"/>
    <w:rsid w:val="000D65FD"/>
    <w:rsid w:val="000D6AC7"/>
    <w:rsid w:val="000D702E"/>
    <w:rsid w:val="000D7C1A"/>
    <w:rsid w:val="000E17DC"/>
    <w:rsid w:val="000E1906"/>
    <w:rsid w:val="000E39FD"/>
    <w:rsid w:val="000E47EE"/>
    <w:rsid w:val="000E4DD8"/>
    <w:rsid w:val="000E65E9"/>
    <w:rsid w:val="000E7253"/>
    <w:rsid w:val="000E7259"/>
    <w:rsid w:val="000F0751"/>
    <w:rsid w:val="000F0E53"/>
    <w:rsid w:val="000F2022"/>
    <w:rsid w:val="000F29E6"/>
    <w:rsid w:val="000F31FC"/>
    <w:rsid w:val="000F32FB"/>
    <w:rsid w:val="000F3F1B"/>
    <w:rsid w:val="000F5997"/>
    <w:rsid w:val="000F762D"/>
    <w:rsid w:val="000F7DC7"/>
    <w:rsid w:val="00100511"/>
    <w:rsid w:val="00100750"/>
    <w:rsid w:val="00100D41"/>
    <w:rsid w:val="0010115F"/>
    <w:rsid w:val="001015C0"/>
    <w:rsid w:val="00103F89"/>
    <w:rsid w:val="001040E9"/>
    <w:rsid w:val="00107CC3"/>
    <w:rsid w:val="00107E4E"/>
    <w:rsid w:val="0011092C"/>
    <w:rsid w:val="001121AF"/>
    <w:rsid w:val="001122BE"/>
    <w:rsid w:val="001124F3"/>
    <w:rsid w:val="00112576"/>
    <w:rsid w:val="00112587"/>
    <w:rsid w:val="00116254"/>
    <w:rsid w:val="0012109A"/>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1BA"/>
    <w:rsid w:val="001432CF"/>
    <w:rsid w:val="001452F3"/>
    <w:rsid w:val="001503CC"/>
    <w:rsid w:val="00152D9C"/>
    <w:rsid w:val="0015430A"/>
    <w:rsid w:val="0015435A"/>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1AFC"/>
    <w:rsid w:val="00173A23"/>
    <w:rsid w:val="00175181"/>
    <w:rsid w:val="00175C56"/>
    <w:rsid w:val="00176931"/>
    <w:rsid w:val="001771F4"/>
    <w:rsid w:val="001773E6"/>
    <w:rsid w:val="001812C4"/>
    <w:rsid w:val="001825F3"/>
    <w:rsid w:val="00182FCF"/>
    <w:rsid w:val="001839A9"/>
    <w:rsid w:val="00183E75"/>
    <w:rsid w:val="0018516B"/>
    <w:rsid w:val="00186863"/>
    <w:rsid w:val="001876BA"/>
    <w:rsid w:val="00187D51"/>
    <w:rsid w:val="00187E8C"/>
    <w:rsid w:val="001915BD"/>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E38"/>
    <w:rsid w:val="001B6027"/>
    <w:rsid w:val="001B6DEB"/>
    <w:rsid w:val="001C0532"/>
    <w:rsid w:val="001C1661"/>
    <w:rsid w:val="001C2D38"/>
    <w:rsid w:val="001C3D13"/>
    <w:rsid w:val="001C6254"/>
    <w:rsid w:val="001C6AA4"/>
    <w:rsid w:val="001C6CE2"/>
    <w:rsid w:val="001C73DB"/>
    <w:rsid w:val="001C7E62"/>
    <w:rsid w:val="001D168B"/>
    <w:rsid w:val="001D1843"/>
    <w:rsid w:val="001D1B15"/>
    <w:rsid w:val="001D33EE"/>
    <w:rsid w:val="001D3B97"/>
    <w:rsid w:val="001D50A9"/>
    <w:rsid w:val="001D74D6"/>
    <w:rsid w:val="001D755B"/>
    <w:rsid w:val="001E0998"/>
    <w:rsid w:val="001E1B6E"/>
    <w:rsid w:val="001E1D46"/>
    <w:rsid w:val="001E2A3C"/>
    <w:rsid w:val="001E3C42"/>
    <w:rsid w:val="001E731E"/>
    <w:rsid w:val="001E745D"/>
    <w:rsid w:val="001F2BAE"/>
    <w:rsid w:val="001F4F48"/>
    <w:rsid w:val="001F5DB3"/>
    <w:rsid w:val="001F69CA"/>
    <w:rsid w:val="00200F26"/>
    <w:rsid w:val="002034C9"/>
    <w:rsid w:val="00204788"/>
    <w:rsid w:val="002049CD"/>
    <w:rsid w:val="00206D97"/>
    <w:rsid w:val="00207738"/>
    <w:rsid w:val="00207C4A"/>
    <w:rsid w:val="00207F0E"/>
    <w:rsid w:val="002129D6"/>
    <w:rsid w:val="00212D55"/>
    <w:rsid w:val="0021399A"/>
    <w:rsid w:val="00213CF4"/>
    <w:rsid w:val="00214F82"/>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270"/>
    <w:rsid w:val="00251715"/>
    <w:rsid w:val="002524BD"/>
    <w:rsid w:val="00252D24"/>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6042"/>
    <w:rsid w:val="00290447"/>
    <w:rsid w:val="0029044D"/>
    <w:rsid w:val="00290658"/>
    <w:rsid w:val="00290F17"/>
    <w:rsid w:val="0029176C"/>
    <w:rsid w:val="0029186C"/>
    <w:rsid w:val="00291DF1"/>
    <w:rsid w:val="00291E9C"/>
    <w:rsid w:val="00292DA3"/>
    <w:rsid w:val="00292EEC"/>
    <w:rsid w:val="00293EC6"/>
    <w:rsid w:val="002946F5"/>
    <w:rsid w:val="00294A5B"/>
    <w:rsid w:val="0029574E"/>
    <w:rsid w:val="002958F6"/>
    <w:rsid w:val="00297076"/>
    <w:rsid w:val="002A0A39"/>
    <w:rsid w:val="002A13C1"/>
    <w:rsid w:val="002A2CC1"/>
    <w:rsid w:val="002A362F"/>
    <w:rsid w:val="002A3A5D"/>
    <w:rsid w:val="002B2061"/>
    <w:rsid w:val="002B2118"/>
    <w:rsid w:val="002B268F"/>
    <w:rsid w:val="002B2D66"/>
    <w:rsid w:val="002B6114"/>
    <w:rsid w:val="002B701D"/>
    <w:rsid w:val="002B745F"/>
    <w:rsid w:val="002B74C6"/>
    <w:rsid w:val="002C0883"/>
    <w:rsid w:val="002C118B"/>
    <w:rsid w:val="002C4113"/>
    <w:rsid w:val="002C4B49"/>
    <w:rsid w:val="002C4B6A"/>
    <w:rsid w:val="002C4BAB"/>
    <w:rsid w:val="002C5352"/>
    <w:rsid w:val="002C63FF"/>
    <w:rsid w:val="002C656B"/>
    <w:rsid w:val="002C7DE9"/>
    <w:rsid w:val="002D0141"/>
    <w:rsid w:val="002D11E9"/>
    <w:rsid w:val="002D2363"/>
    <w:rsid w:val="002D3266"/>
    <w:rsid w:val="002D3E45"/>
    <w:rsid w:val="002D56F7"/>
    <w:rsid w:val="002D5AE6"/>
    <w:rsid w:val="002D63C1"/>
    <w:rsid w:val="002E1160"/>
    <w:rsid w:val="002E3480"/>
    <w:rsid w:val="002E3CB7"/>
    <w:rsid w:val="002E46C8"/>
    <w:rsid w:val="002E5927"/>
    <w:rsid w:val="002E7CD6"/>
    <w:rsid w:val="002F001B"/>
    <w:rsid w:val="002F04F9"/>
    <w:rsid w:val="002F277F"/>
    <w:rsid w:val="002F41E2"/>
    <w:rsid w:val="002F4497"/>
    <w:rsid w:val="002F56BF"/>
    <w:rsid w:val="002F576C"/>
    <w:rsid w:val="002F635E"/>
    <w:rsid w:val="002F6820"/>
    <w:rsid w:val="00302CB5"/>
    <w:rsid w:val="00304B4F"/>
    <w:rsid w:val="00304F6A"/>
    <w:rsid w:val="003051F2"/>
    <w:rsid w:val="00306305"/>
    <w:rsid w:val="0030658D"/>
    <w:rsid w:val="003075A7"/>
    <w:rsid w:val="00310A4D"/>
    <w:rsid w:val="0031140E"/>
    <w:rsid w:val="00311649"/>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3D17"/>
    <w:rsid w:val="00334680"/>
    <w:rsid w:val="00334FF1"/>
    <w:rsid w:val="00335A82"/>
    <w:rsid w:val="00337879"/>
    <w:rsid w:val="00337F0B"/>
    <w:rsid w:val="00341C78"/>
    <w:rsid w:val="0034272A"/>
    <w:rsid w:val="00343010"/>
    <w:rsid w:val="003462D5"/>
    <w:rsid w:val="003474B8"/>
    <w:rsid w:val="003476BD"/>
    <w:rsid w:val="0035012E"/>
    <w:rsid w:val="00350342"/>
    <w:rsid w:val="00350B32"/>
    <w:rsid w:val="0035119D"/>
    <w:rsid w:val="00352363"/>
    <w:rsid w:val="003545E7"/>
    <w:rsid w:val="003554E2"/>
    <w:rsid w:val="00355E3E"/>
    <w:rsid w:val="00356746"/>
    <w:rsid w:val="0035731D"/>
    <w:rsid w:val="00357F7D"/>
    <w:rsid w:val="00360837"/>
    <w:rsid w:val="00362595"/>
    <w:rsid w:val="00362B4B"/>
    <w:rsid w:val="00363417"/>
    <w:rsid w:val="00363E04"/>
    <w:rsid w:val="00364310"/>
    <w:rsid w:val="00364F0F"/>
    <w:rsid w:val="00366B59"/>
    <w:rsid w:val="00373618"/>
    <w:rsid w:val="00375FEE"/>
    <w:rsid w:val="0037665D"/>
    <w:rsid w:val="00380523"/>
    <w:rsid w:val="003816D2"/>
    <w:rsid w:val="00382527"/>
    <w:rsid w:val="00382572"/>
    <w:rsid w:val="00383D67"/>
    <w:rsid w:val="003849D9"/>
    <w:rsid w:val="00385E50"/>
    <w:rsid w:val="00387535"/>
    <w:rsid w:val="00387B51"/>
    <w:rsid w:val="00390F98"/>
    <w:rsid w:val="00391C6A"/>
    <w:rsid w:val="00393366"/>
    <w:rsid w:val="00394594"/>
    <w:rsid w:val="003947C2"/>
    <w:rsid w:val="00394DE0"/>
    <w:rsid w:val="00397159"/>
    <w:rsid w:val="00397CE7"/>
    <w:rsid w:val="003A0BA6"/>
    <w:rsid w:val="003A1644"/>
    <w:rsid w:val="003A3D75"/>
    <w:rsid w:val="003A4020"/>
    <w:rsid w:val="003A414A"/>
    <w:rsid w:val="003A5D40"/>
    <w:rsid w:val="003A6062"/>
    <w:rsid w:val="003A639E"/>
    <w:rsid w:val="003A64D0"/>
    <w:rsid w:val="003B13A9"/>
    <w:rsid w:val="003B2EFC"/>
    <w:rsid w:val="003B3735"/>
    <w:rsid w:val="003B3C2C"/>
    <w:rsid w:val="003B4456"/>
    <w:rsid w:val="003C0ABC"/>
    <w:rsid w:val="003C0CC9"/>
    <w:rsid w:val="003C0F72"/>
    <w:rsid w:val="003C3F3D"/>
    <w:rsid w:val="003C3FA6"/>
    <w:rsid w:val="003C4742"/>
    <w:rsid w:val="003C58CB"/>
    <w:rsid w:val="003C65EA"/>
    <w:rsid w:val="003C7BF8"/>
    <w:rsid w:val="003D120D"/>
    <w:rsid w:val="003D30DB"/>
    <w:rsid w:val="003D4E8D"/>
    <w:rsid w:val="003D6ED7"/>
    <w:rsid w:val="003D735C"/>
    <w:rsid w:val="003D7D83"/>
    <w:rsid w:val="003E0D4D"/>
    <w:rsid w:val="003E12BD"/>
    <w:rsid w:val="003E2ACC"/>
    <w:rsid w:val="003E2ECC"/>
    <w:rsid w:val="003E2EE9"/>
    <w:rsid w:val="003E3922"/>
    <w:rsid w:val="003E5A35"/>
    <w:rsid w:val="003F00A6"/>
    <w:rsid w:val="003F1A6C"/>
    <w:rsid w:val="003F1B20"/>
    <w:rsid w:val="003F1D31"/>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7979"/>
    <w:rsid w:val="00407E1B"/>
    <w:rsid w:val="004142D0"/>
    <w:rsid w:val="00414540"/>
    <w:rsid w:val="00414749"/>
    <w:rsid w:val="00416C53"/>
    <w:rsid w:val="00416ED3"/>
    <w:rsid w:val="00417650"/>
    <w:rsid w:val="00417896"/>
    <w:rsid w:val="0042099B"/>
    <w:rsid w:val="00420E92"/>
    <w:rsid w:val="0042137C"/>
    <w:rsid w:val="00421793"/>
    <w:rsid w:val="004218EA"/>
    <w:rsid w:val="00425153"/>
    <w:rsid w:val="0043169C"/>
    <w:rsid w:val="004347CB"/>
    <w:rsid w:val="00434B79"/>
    <w:rsid w:val="00434D5F"/>
    <w:rsid w:val="00435027"/>
    <w:rsid w:val="0043544E"/>
    <w:rsid w:val="00435AC1"/>
    <w:rsid w:val="00440936"/>
    <w:rsid w:val="00441600"/>
    <w:rsid w:val="00443416"/>
    <w:rsid w:val="00443D3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66975"/>
    <w:rsid w:val="00470B3D"/>
    <w:rsid w:val="00471C36"/>
    <w:rsid w:val="00471F0C"/>
    <w:rsid w:val="00474D9F"/>
    <w:rsid w:val="00475920"/>
    <w:rsid w:val="00475AE1"/>
    <w:rsid w:val="00483300"/>
    <w:rsid w:val="00486F8F"/>
    <w:rsid w:val="00490127"/>
    <w:rsid w:val="00490A41"/>
    <w:rsid w:val="004913B0"/>
    <w:rsid w:val="004923C0"/>
    <w:rsid w:val="00493735"/>
    <w:rsid w:val="004938BF"/>
    <w:rsid w:val="00494962"/>
    <w:rsid w:val="0049735C"/>
    <w:rsid w:val="004A1927"/>
    <w:rsid w:val="004A215E"/>
    <w:rsid w:val="004A28A9"/>
    <w:rsid w:val="004A333F"/>
    <w:rsid w:val="004A35B2"/>
    <w:rsid w:val="004A60C8"/>
    <w:rsid w:val="004A6592"/>
    <w:rsid w:val="004B0131"/>
    <w:rsid w:val="004B3CD0"/>
    <w:rsid w:val="004B53FE"/>
    <w:rsid w:val="004B568E"/>
    <w:rsid w:val="004B6E06"/>
    <w:rsid w:val="004C6E69"/>
    <w:rsid w:val="004C7E11"/>
    <w:rsid w:val="004D05F9"/>
    <w:rsid w:val="004D20B9"/>
    <w:rsid w:val="004D3059"/>
    <w:rsid w:val="004D3F07"/>
    <w:rsid w:val="004D44D9"/>
    <w:rsid w:val="004D53B0"/>
    <w:rsid w:val="004D7277"/>
    <w:rsid w:val="004D769F"/>
    <w:rsid w:val="004D7B57"/>
    <w:rsid w:val="004E04B6"/>
    <w:rsid w:val="004E362A"/>
    <w:rsid w:val="004E43E5"/>
    <w:rsid w:val="004E4C87"/>
    <w:rsid w:val="004E62F7"/>
    <w:rsid w:val="004E67C6"/>
    <w:rsid w:val="004E7554"/>
    <w:rsid w:val="004F0A4C"/>
    <w:rsid w:val="004F133E"/>
    <w:rsid w:val="004F215F"/>
    <w:rsid w:val="004F2A76"/>
    <w:rsid w:val="004F3664"/>
    <w:rsid w:val="004F7CC5"/>
    <w:rsid w:val="0050001C"/>
    <w:rsid w:val="005008CF"/>
    <w:rsid w:val="005030C5"/>
    <w:rsid w:val="00506141"/>
    <w:rsid w:val="00506653"/>
    <w:rsid w:val="005078FD"/>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5A5"/>
    <w:rsid w:val="00524F5D"/>
    <w:rsid w:val="0052545A"/>
    <w:rsid w:val="00525A8A"/>
    <w:rsid w:val="005307DE"/>
    <w:rsid w:val="00531CA4"/>
    <w:rsid w:val="0053301E"/>
    <w:rsid w:val="005340D7"/>
    <w:rsid w:val="0053622A"/>
    <w:rsid w:val="005362C5"/>
    <w:rsid w:val="00536BA4"/>
    <w:rsid w:val="00543431"/>
    <w:rsid w:val="005462BE"/>
    <w:rsid w:val="00546CBC"/>
    <w:rsid w:val="00546D11"/>
    <w:rsid w:val="00546E54"/>
    <w:rsid w:val="00547642"/>
    <w:rsid w:val="005510F2"/>
    <w:rsid w:val="00551282"/>
    <w:rsid w:val="0055374C"/>
    <w:rsid w:val="005541DF"/>
    <w:rsid w:val="005545D7"/>
    <w:rsid w:val="00554C13"/>
    <w:rsid w:val="005558E3"/>
    <w:rsid w:val="005603C0"/>
    <w:rsid w:val="0056095B"/>
    <w:rsid w:val="00561BC5"/>
    <w:rsid w:val="0056204B"/>
    <w:rsid w:val="00563709"/>
    <w:rsid w:val="005639E6"/>
    <w:rsid w:val="00567AE0"/>
    <w:rsid w:val="00572F0E"/>
    <w:rsid w:val="0057359B"/>
    <w:rsid w:val="00575742"/>
    <w:rsid w:val="00577D35"/>
    <w:rsid w:val="005802FE"/>
    <w:rsid w:val="005804AA"/>
    <w:rsid w:val="005815E7"/>
    <w:rsid w:val="005822BC"/>
    <w:rsid w:val="00582A98"/>
    <w:rsid w:val="00583358"/>
    <w:rsid w:val="00583935"/>
    <w:rsid w:val="00583E93"/>
    <w:rsid w:val="00585B72"/>
    <w:rsid w:val="00586C2C"/>
    <w:rsid w:val="00586E99"/>
    <w:rsid w:val="005878B3"/>
    <w:rsid w:val="00587EFD"/>
    <w:rsid w:val="00590395"/>
    <w:rsid w:val="00591BEA"/>
    <w:rsid w:val="00593203"/>
    <w:rsid w:val="0059466C"/>
    <w:rsid w:val="00594809"/>
    <w:rsid w:val="005951D2"/>
    <w:rsid w:val="005956BE"/>
    <w:rsid w:val="005961EB"/>
    <w:rsid w:val="00596744"/>
    <w:rsid w:val="005A16DB"/>
    <w:rsid w:val="005A2A77"/>
    <w:rsid w:val="005A2D5E"/>
    <w:rsid w:val="005A3FB2"/>
    <w:rsid w:val="005A462B"/>
    <w:rsid w:val="005A629E"/>
    <w:rsid w:val="005A6617"/>
    <w:rsid w:val="005A75FF"/>
    <w:rsid w:val="005B043B"/>
    <w:rsid w:val="005B1A04"/>
    <w:rsid w:val="005B2855"/>
    <w:rsid w:val="005B2FFA"/>
    <w:rsid w:val="005B386F"/>
    <w:rsid w:val="005B3938"/>
    <w:rsid w:val="005B5E48"/>
    <w:rsid w:val="005B6CA7"/>
    <w:rsid w:val="005B7499"/>
    <w:rsid w:val="005C06BA"/>
    <w:rsid w:val="005D0311"/>
    <w:rsid w:val="005D0400"/>
    <w:rsid w:val="005D06A4"/>
    <w:rsid w:val="005D08A1"/>
    <w:rsid w:val="005D1D0C"/>
    <w:rsid w:val="005D292F"/>
    <w:rsid w:val="005D29CF"/>
    <w:rsid w:val="005D45F1"/>
    <w:rsid w:val="005D4B8B"/>
    <w:rsid w:val="005D5A4E"/>
    <w:rsid w:val="005D6FB2"/>
    <w:rsid w:val="005E3ABC"/>
    <w:rsid w:val="005E4010"/>
    <w:rsid w:val="005E5EC9"/>
    <w:rsid w:val="005E65D0"/>
    <w:rsid w:val="005E7AB2"/>
    <w:rsid w:val="005F02CB"/>
    <w:rsid w:val="005F0F5A"/>
    <w:rsid w:val="005F404C"/>
    <w:rsid w:val="005F68A7"/>
    <w:rsid w:val="00602D18"/>
    <w:rsid w:val="00607780"/>
    <w:rsid w:val="0061041A"/>
    <w:rsid w:val="006104E9"/>
    <w:rsid w:val="00610E78"/>
    <w:rsid w:val="00611961"/>
    <w:rsid w:val="00613CE2"/>
    <w:rsid w:val="006156C4"/>
    <w:rsid w:val="00617A34"/>
    <w:rsid w:val="00620310"/>
    <w:rsid w:val="00622E80"/>
    <w:rsid w:val="00627A8F"/>
    <w:rsid w:val="00633A22"/>
    <w:rsid w:val="00634879"/>
    <w:rsid w:val="006358EC"/>
    <w:rsid w:val="006362DA"/>
    <w:rsid w:val="00636483"/>
    <w:rsid w:val="0063681B"/>
    <w:rsid w:val="0064248A"/>
    <w:rsid w:val="006441AF"/>
    <w:rsid w:val="00644600"/>
    <w:rsid w:val="00644DDB"/>
    <w:rsid w:val="00647621"/>
    <w:rsid w:val="00651992"/>
    <w:rsid w:val="00652616"/>
    <w:rsid w:val="00652AC4"/>
    <w:rsid w:val="00654463"/>
    <w:rsid w:val="00654A34"/>
    <w:rsid w:val="0065779A"/>
    <w:rsid w:val="006579AA"/>
    <w:rsid w:val="00663E7C"/>
    <w:rsid w:val="006651BB"/>
    <w:rsid w:val="006655E1"/>
    <w:rsid w:val="00665770"/>
    <w:rsid w:val="0066737A"/>
    <w:rsid w:val="00671815"/>
    <w:rsid w:val="0067197E"/>
    <w:rsid w:val="00672F3C"/>
    <w:rsid w:val="00674914"/>
    <w:rsid w:val="00681610"/>
    <w:rsid w:val="00681C67"/>
    <w:rsid w:val="006826AB"/>
    <w:rsid w:val="0068276F"/>
    <w:rsid w:val="00683A42"/>
    <w:rsid w:val="00683C65"/>
    <w:rsid w:val="00684A0B"/>
    <w:rsid w:val="0068528E"/>
    <w:rsid w:val="006852AE"/>
    <w:rsid w:val="006854ED"/>
    <w:rsid w:val="00686F47"/>
    <w:rsid w:val="00692F13"/>
    <w:rsid w:val="00694095"/>
    <w:rsid w:val="00695456"/>
    <w:rsid w:val="006A022E"/>
    <w:rsid w:val="006A0AB7"/>
    <w:rsid w:val="006A2244"/>
    <w:rsid w:val="006A354C"/>
    <w:rsid w:val="006A36E8"/>
    <w:rsid w:val="006A476C"/>
    <w:rsid w:val="006A4B0A"/>
    <w:rsid w:val="006A52A6"/>
    <w:rsid w:val="006B1828"/>
    <w:rsid w:val="006B4428"/>
    <w:rsid w:val="006B5F3C"/>
    <w:rsid w:val="006B6EB3"/>
    <w:rsid w:val="006C15D0"/>
    <w:rsid w:val="006C1DA0"/>
    <w:rsid w:val="006C2434"/>
    <w:rsid w:val="006C2787"/>
    <w:rsid w:val="006C40CD"/>
    <w:rsid w:val="006C538E"/>
    <w:rsid w:val="006C64FD"/>
    <w:rsid w:val="006C7EA3"/>
    <w:rsid w:val="006D2E61"/>
    <w:rsid w:val="006D33C8"/>
    <w:rsid w:val="006D46E5"/>
    <w:rsid w:val="006D5300"/>
    <w:rsid w:val="006D5A61"/>
    <w:rsid w:val="006D5C7D"/>
    <w:rsid w:val="006E0A93"/>
    <w:rsid w:val="006E1A85"/>
    <w:rsid w:val="006E1EBE"/>
    <w:rsid w:val="006E317C"/>
    <w:rsid w:val="006E3509"/>
    <w:rsid w:val="006E659D"/>
    <w:rsid w:val="006E66D2"/>
    <w:rsid w:val="006E6EE7"/>
    <w:rsid w:val="006E7DBA"/>
    <w:rsid w:val="006F0B26"/>
    <w:rsid w:val="006F176D"/>
    <w:rsid w:val="006F1865"/>
    <w:rsid w:val="006F221E"/>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49AE"/>
    <w:rsid w:val="00727735"/>
    <w:rsid w:val="00731494"/>
    <w:rsid w:val="007320EB"/>
    <w:rsid w:val="00733676"/>
    <w:rsid w:val="00733C61"/>
    <w:rsid w:val="007368CA"/>
    <w:rsid w:val="00737D15"/>
    <w:rsid w:val="0074198D"/>
    <w:rsid w:val="007422CC"/>
    <w:rsid w:val="00743BB3"/>
    <w:rsid w:val="00743F0E"/>
    <w:rsid w:val="007476CA"/>
    <w:rsid w:val="00751FDE"/>
    <w:rsid w:val="00754F3D"/>
    <w:rsid w:val="00755C7B"/>
    <w:rsid w:val="0076103F"/>
    <w:rsid w:val="0076203B"/>
    <w:rsid w:val="00762EEA"/>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4CC2"/>
    <w:rsid w:val="00785B12"/>
    <w:rsid w:val="00785FA5"/>
    <w:rsid w:val="00791D0A"/>
    <w:rsid w:val="00792CDD"/>
    <w:rsid w:val="00794AAC"/>
    <w:rsid w:val="00796EEB"/>
    <w:rsid w:val="00797437"/>
    <w:rsid w:val="007A0170"/>
    <w:rsid w:val="007A1271"/>
    <w:rsid w:val="007A133E"/>
    <w:rsid w:val="007A340C"/>
    <w:rsid w:val="007A4738"/>
    <w:rsid w:val="007A5EB4"/>
    <w:rsid w:val="007A6EC6"/>
    <w:rsid w:val="007A7806"/>
    <w:rsid w:val="007B01BF"/>
    <w:rsid w:val="007B0B48"/>
    <w:rsid w:val="007B17CD"/>
    <w:rsid w:val="007B3168"/>
    <w:rsid w:val="007B3CFF"/>
    <w:rsid w:val="007B6288"/>
    <w:rsid w:val="007B655A"/>
    <w:rsid w:val="007B6C74"/>
    <w:rsid w:val="007B7237"/>
    <w:rsid w:val="007C008B"/>
    <w:rsid w:val="007C01C5"/>
    <w:rsid w:val="007C19FF"/>
    <w:rsid w:val="007C3B8E"/>
    <w:rsid w:val="007C7E26"/>
    <w:rsid w:val="007D1286"/>
    <w:rsid w:val="007D3157"/>
    <w:rsid w:val="007D32E2"/>
    <w:rsid w:val="007D3530"/>
    <w:rsid w:val="007D386E"/>
    <w:rsid w:val="007D3A5F"/>
    <w:rsid w:val="007D4FDD"/>
    <w:rsid w:val="007D77F9"/>
    <w:rsid w:val="007E39BE"/>
    <w:rsid w:val="007E5E65"/>
    <w:rsid w:val="007E7F6D"/>
    <w:rsid w:val="007F035F"/>
    <w:rsid w:val="007F131E"/>
    <w:rsid w:val="007F5E10"/>
    <w:rsid w:val="00801913"/>
    <w:rsid w:val="00801F00"/>
    <w:rsid w:val="00801F07"/>
    <w:rsid w:val="00802D26"/>
    <w:rsid w:val="00805BAE"/>
    <w:rsid w:val="00806EE7"/>
    <w:rsid w:val="0081015E"/>
    <w:rsid w:val="0081213D"/>
    <w:rsid w:val="00812D2C"/>
    <w:rsid w:val="008131F4"/>
    <w:rsid w:val="00813330"/>
    <w:rsid w:val="00814E98"/>
    <w:rsid w:val="00814F91"/>
    <w:rsid w:val="0081552A"/>
    <w:rsid w:val="00815E5E"/>
    <w:rsid w:val="00815F27"/>
    <w:rsid w:val="008165F9"/>
    <w:rsid w:val="00816C67"/>
    <w:rsid w:val="0081715C"/>
    <w:rsid w:val="008177B1"/>
    <w:rsid w:val="00822D55"/>
    <w:rsid w:val="008242B1"/>
    <w:rsid w:val="0082714C"/>
    <w:rsid w:val="00830689"/>
    <w:rsid w:val="00831992"/>
    <w:rsid w:val="00832A46"/>
    <w:rsid w:val="00834C05"/>
    <w:rsid w:val="00841522"/>
    <w:rsid w:val="008435AD"/>
    <w:rsid w:val="008439C4"/>
    <w:rsid w:val="00843F3D"/>
    <w:rsid w:val="00850793"/>
    <w:rsid w:val="008538C4"/>
    <w:rsid w:val="0085452F"/>
    <w:rsid w:val="00857206"/>
    <w:rsid w:val="008601ED"/>
    <w:rsid w:val="00860A75"/>
    <w:rsid w:val="00862171"/>
    <w:rsid w:val="0086310D"/>
    <w:rsid w:val="0086425C"/>
    <w:rsid w:val="00865EC7"/>
    <w:rsid w:val="0087172D"/>
    <w:rsid w:val="00871885"/>
    <w:rsid w:val="00872636"/>
    <w:rsid w:val="00872D71"/>
    <w:rsid w:val="00873105"/>
    <w:rsid w:val="00873AB8"/>
    <w:rsid w:val="00875013"/>
    <w:rsid w:val="008760DF"/>
    <w:rsid w:val="00876F5F"/>
    <w:rsid w:val="00877DD1"/>
    <w:rsid w:val="008831F0"/>
    <w:rsid w:val="00883B35"/>
    <w:rsid w:val="00883D8F"/>
    <w:rsid w:val="008840F4"/>
    <w:rsid w:val="0088419D"/>
    <w:rsid w:val="0088509F"/>
    <w:rsid w:val="00885675"/>
    <w:rsid w:val="00885992"/>
    <w:rsid w:val="00885BC8"/>
    <w:rsid w:val="00886887"/>
    <w:rsid w:val="0088731D"/>
    <w:rsid w:val="00890E28"/>
    <w:rsid w:val="00890EDA"/>
    <w:rsid w:val="00891328"/>
    <w:rsid w:val="00891D90"/>
    <w:rsid w:val="008921C6"/>
    <w:rsid w:val="00892E6D"/>
    <w:rsid w:val="0089306B"/>
    <w:rsid w:val="00893378"/>
    <w:rsid w:val="00894C74"/>
    <w:rsid w:val="00895BC8"/>
    <w:rsid w:val="00895C69"/>
    <w:rsid w:val="00896615"/>
    <w:rsid w:val="008966A9"/>
    <w:rsid w:val="00896CAE"/>
    <w:rsid w:val="00897EC9"/>
    <w:rsid w:val="008A0044"/>
    <w:rsid w:val="008A0C13"/>
    <w:rsid w:val="008A1362"/>
    <w:rsid w:val="008A1EC5"/>
    <w:rsid w:val="008A2E54"/>
    <w:rsid w:val="008A4B00"/>
    <w:rsid w:val="008A5633"/>
    <w:rsid w:val="008A580E"/>
    <w:rsid w:val="008A67CB"/>
    <w:rsid w:val="008A6829"/>
    <w:rsid w:val="008A685D"/>
    <w:rsid w:val="008B275F"/>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C7C16"/>
    <w:rsid w:val="008D0FCF"/>
    <w:rsid w:val="008D2544"/>
    <w:rsid w:val="008D3420"/>
    <w:rsid w:val="008D3A03"/>
    <w:rsid w:val="008D52E3"/>
    <w:rsid w:val="008D6A47"/>
    <w:rsid w:val="008D6C95"/>
    <w:rsid w:val="008E040B"/>
    <w:rsid w:val="008E251A"/>
    <w:rsid w:val="008E30C6"/>
    <w:rsid w:val="008E634A"/>
    <w:rsid w:val="008E6621"/>
    <w:rsid w:val="008E68D6"/>
    <w:rsid w:val="008E693B"/>
    <w:rsid w:val="008F16F0"/>
    <w:rsid w:val="008F1965"/>
    <w:rsid w:val="008F3B14"/>
    <w:rsid w:val="008F410A"/>
    <w:rsid w:val="008F5704"/>
    <w:rsid w:val="008F5F56"/>
    <w:rsid w:val="008F70BB"/>
    <w:rsid w:val="00900432"/>
    <w:rsid w:val="00900C64"/>
    <w:rsid w:val="009010F1"/>
    <w:rsid w:val="00902134"/>
    <w:rsid w:val="00902713"/>
    <w:rsid w:val="00902B77"/>
    <w:rsid w:val="00905FDC"/>
    <w:rsid w:val="009063E1"/>
    <w:rsid w:val="00907F14"/>
    <w:rsid w:val="0091048E"/>
    <w:rsid w:val="009118A4"/>
    <w:rsid w:val="00913723"/>
    <w:rsid w:val="00913786"/>
    <w:rsid w:val="00914F29"/>
    <w:rsid w:val="00915AAE"/>
    <w:rsid w:val="00915EBD"/>
    <w:rsid w:val="00916A7E"/>
    <w:rsid w:val="009172A3"/>
    <w:rsid w:val="009176C7"/>
    <w:rsid w:val="00921BCB"/>
    <w:rsid w:val="00922209"/>
    <w:rsid w:val="00922422"/>
    <w:rsid w:val="009244FF"/>
    <w:rsid w:val="00925765"/>
    <w:rsid w:val="00925DAC"/>
    <w:rsid w:val="00926110"/>
    <w:rsid w:val="00926CAC"/>
    <w:rsid w:val="009270D1"/>
    <w:rsid w:val="00931EBA"/>
    <w:rsid w:val="00933F68"/>
    <w:rsid w:val="0093488E"/>
    <w:rsid w:val="009357DA"/>
    <w:rsid w:val="0094383B"/>
    <w:rsid w:val="00943D30"/>
    <w:rsid w:val="00944318"/>
    <w:rsid w:val="00944718"/>
    <w:rsid w:val="00945018"/>
    <w:rsid w:val="009472A3"/>
    <w:rsid w:val="00947FAD"/>
    <w:rsid w:val="009504CB"/>
    <w:rsid w:val="00950B97"/>
    <w:rsid w:val="00951396"/>
    <w:rsid w:val="00951F82"/>
    <w:rsid w:val="009548D9"/>
    <w:rsid w:val="009555BE"/>
    <w:rsid w:val="00955F5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612A"/>
    <w:rsid w:val="009776B0"/>
    <w:rsid w:val="00980421"/>
    <w:rsid w:val="00981D44"/>
    <w:rsid w:val="00982523"/>
    <w:rsid w:val="00990D68"/>
    <w:rsid w:val="009923E1"/>
    <w:rsid w:val="00993C33"/>
    <w:rsid w:val="00993D55"/>
    <w:rsid w:val="009944A8"/>
    <w:rsid w:val="009978DB"/>
    <w:rsid w:val="00997D1A"/>
    <w:rsid w:val="009A208C"/>
    <w:rsid w:val="009A2EFF"/>
    <w:rsid w:val="009A3D6E"/>
    <w:rsid w:val="009A42BF"/>
    <w:rsid w:val="009A43F3"/>
    <w:rsid w:val="009A4F5D"/>
    <w:rsid w:val="009A5C8F"/>
    <w:rsid w:val="009A619C"/>
    <w:rsid w:val="009A6EAD"/>
    <w:rsid w:val="009A7598"/>
    <w:rsid w:val="009B0FC8"/>
    <w:rsid w:val="009B1762"/>
    <w:rsid w:val="009B42AF"/>
    <w:rsid w:val="009B4328"/>
    <w:rsid w:val="009B57E1"/>
    <w:rsid w:val="009B5878"/>
    <w:rsid w:val="009B5E37"/>
    <w:rsid w:val="009B6870"/>
    <w:rsid w:val="009B68D7"/>
    <w:rsid w:val="009B7992"/>
    <w:rsid w:val="009C719E"/>
    <w:rsid w:val="009D00B5"/>
    <w:rsid w:val="009D108F"/>
    <w:rsid w:val="009D25B3"/>
    <w:rsid w:val="009D356D"/>
    <w:rsid w:val="009D4218"/>
    <w:rsid w:val="009D4706"/>
    <w:rsid w:val="009D7D7B"/>
    <w:rsid w:val="009D7EE4"/>
    <w:rsid w:val="009E0939"/>
    <w:rsid w:val="009E0C4B"/>
    <w:rsid w:val="009E2FA1"/>
    <w:rsid w:val="009E3259"/>
    <w:rsid w:val="009E359F"/>
    <w:rsid w:val="009E4041"/>
    <w:rsid w:val="009E43E8"/>
    <w:rsid w:val="009E5F89"/>
    <w:rsid w:val="009E60F4"/>
    <w:rsid w:val="009E6F04"/>
    <w:rsid w:val="009E7435"/>
    <w:rsid w:val="009E781D"/>
    <w:rsid w:val="009F1527"/>
    <w:rsid w:val="009F1D35"/>
    <w:rsid w:val="009F1F70"/>
    <w:rsid w:val="009F5E7F"/>
    <w:rsid w:val="00A0273F"/>
    <w:rsid w:val="00A02ABB"/>
    <w:rsid w:val="00A1415A"/>
    <w:rsid w:val="00A17749"/>
    <w:rsid w:val="00A20412"/>
    <w:rsid w:val="00A20443"/>
    <w:rsid w:val="00A21907"/>
    <w:rsid w:val="00A225C1"/>
    <w:rsid w:val="00A247DF"/>
    <w:rsid w:val="00A24E2D"/>
    <w:rsid w:val="00A27308"/>
    <w:rsid w:val="00A27A1A"/>
    <w:rsid w:val="00A3064C"/>
    <w:rsid w:val="00A309D7"/>
    <w:rsid w:val="00A31BF6"/>
    <w:rsid w:val="00A32C2D"/>
    <w:rsid w:val="00A338B1"/>
    <w:rsid w:val="00A35466"/>
    <w:rsid w:val="00A354F0"/>
    <w:rsid w:val="00A35EE1"/>
    <w:rsid w:val="00A362F8"/>
    <w:rsid w:val="00A37833"/>
    <w:rsid w:val="00A4046C"/>
    <w:rsid w:val="00A405EE"/>
    <w:rsid w:val="00A41B06"/>
    <w:rsid w:val="00A454F7"/>
    <w:rsid w:val="00A45F9A"/>
    <w:rsid w:val="00A47755"/>
    <w:rsid w:val="00A50872"/>
    <w:rsid w:val="00A50F68"/>
    <w:rsid w:val="00A5203F"/>
    <w:rsid w:val="00A52052"/>
    <w:rsid w:val="00A528E3"/>
    <w:rsid w:val="00A52ACF"/>
    <w:rsid w:val="00A53C61"/>
    <w:rsid w:val="00A567A2"/>
    <w:rsid w:val="00A57D5D"/>
    <w:rsid w:val="00A600D5"/>
    <w:rsid w:val="00A61A04"/>
    <w:rsid w:val="00A64315"/>
    <w:rsid w:val="00A64C9F"/>
    <w:rsid w:val="00A65CC3"/>
    <w:rsid w:val="00A65F30"/>
    <w:rsid w:val="00A72772"/>
    <w:rsid w:val="00A825C9"/>
    <w:rsid w:val="00A83731"/>
    <w:rsid w:val="00A83868"/>
    <w:rsid w:val="00A847B8"/>
    <w:rsid w:val="00A86EE9"/>
    <w:rsid w:val="00A87964"/>
    <w:rsid w:val="00A87E2A"/>
    <w:rsid w:val="00A87FFC"/>
    <w:rsid w:val="00A90821"/>
    <w:rsid w:val="00A91387"/>
    <w:rsid w:val="00A9272C"/>
    <w:rsid w:val="00A92D4C"/>
    <w:rsid w:val="00A95779"/>
    <w:rsid w:val="00A962F1"/>
    <w:rsid w:val="00A969FD"/>
    <w:rsid w:val="00AA139E"/>
    <w:rsid w:val="00AA1AD0"/>
    <w:rsid w:val="00AA1BE9"/>
    <w:rsid w:val="00AA57E5"/>
    <w:rsid w:val="00AA5E52"/>
    <w:rsid w:val="00AA6CAC"/>
    <w:rsid w:val="00AA7E9F"/>
    <w:rsid w:val="00AB0330"/>
    <w:rsid w:val="00AB1D3C"/>
    <w:rsid w:val="00AB36B8"/>
    <w:rsid w:val="00AB3A19"/>
    <w:rsid w:val="00AB3AAF"/>
    <w:rsid w:val="00AB4880"/>
    <w:rsid w:val="00AB579F"/>
    <w:rsid w:val="00AC04B8"/>
    <w:rsid w:val="00AC09ED"/>
    <w:rsid w:val="00AC5A50"/>
    <w:rsid w:val="00AC76E9"/>
    <w:rsid w:val="00AD093F"/>
    <w:rsid w:val="00AD1392"/>
    <w:rsid w:val="00AD1E80"/>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F01CE"/>
    <w:rsid w:val="00AF092F"/>
    <w:rsid w:val="00AF0A1D"/>
    <w:rsid w:val="00AF0CED"/>
    <w:rsid w:val="00AF1229"/>
    <w:rsid w:val="00AF1E77"/>
    <w:rsid w:val="00AF2E31"/>
    <w:rsid w:val="00AF5F67"/>
    <w:rsid w:val="00AF6E28"/>
    <w:rsid w:val="00AF720A"/>
    <w:rsid w:val="00B024DA"/>
    <w:rsid w:val="00B02761"/>
    <w:rsid w:val="00B02AB4"/>
    <w:rsid w:val="00B039C7"/>
    <w:rsid w:val="00B03A30"/>
    <w:rsid w:val="00B04A54"/>
    <w:rsid w:val="00B05588"/>
    <w:rsid w:val="00B06EE0"/>
    <w:rsid w:val="00B0753E"/>
    <w:rsid w:val="00B135F2"/>
    <w:rsid w:val="00B14514"/>
    <w:rsid w:val="00B15A96"/>
    <w:rsid w:val="00B15CCA"/>
    <w:rsid w:val="00B15D84"/>
    <w:rsid w:val="00B20C08"/>
    <w:rsid w:val="00B21E8F"/>
    <w:rsid w:val="00B244D8"/>
    <w:rsid w:val="00B258B6"/>
    <w:rsid w:val="00B260E0"/>
    <w:rsid w:val="00B26431"/>
    <w:rsid w:val="00B26A3F"/>
    <w:rsid w:val="00B313A7"/>
    <w:rsid w:val="00B31BCE"/>
    <w:rsid w:val="00B3493D"/>
    <w:rsid w:val="00B3556D"/>
    <w:rsid w:val="00B364A2"/>
    <w:rsid w:val="00B408A5"/>
    <w:rsid w:val="00B40A3F"/>
    <w:rsid w:val="00B40BFB"/>
    <w:rsid w:val="00B42966"/>
    <w:rsid w:val="00B42DC5"/>
    <w:rsid w:val="00B44598"/>
    <w:rsid w:val="00B44A14"/>
    <w:rsid w:val="00B4623B"/>
    <w:rsid w:val="00B46754"/>
    <w:rsid w:val="00B50BFF"/>
    <w:rsid w:val="00B56525"/>
    <w:rsid w:val="00B57DA5"/>
    <w:rsid w:val="00B608DF"/>
    <w:rsid w:val="00B633E8"/>
    <w:rsid w:val="00B633EC"/>
    <w:rsid w:val="00B650E4"/>
    <w:rsid w:val="00B657CD"/>
    <w:rsid w:val="00B66E23"/>
    <w:rsid w:val="00B72674"/>
    <w:rsid w:val="00B72A9D"/>
    <w:rsid w:val="00B737B9"/>
    <w:rsid w:val="00B77D7E"/>
    <w:rsid w:val="00B811CC"/>
    <w:rsid w:val="00B8167D"/>
    <w:rsid w:val="00B82452"/>
    <w:rsid w:val="00B83093"/>
    <w:rsid w:val="00B866EF"/>
    <w:rsid w:val="00B87109"/>
    <w:rsid w:val="00B919E6"/>
    <w:rsid w:val="00B91B47"/>
    <w:rsid w:val="00B91E18"/>
    <w:rsid w:val="00B92E52"/>
    <w:rsid w:val="00B92FDE"/>
    <w:rsid w:val="00B94A9A"/>
    <w:rsid w:val="00B978FF"/>
    <w:rsid w:val="00B97EDE"/>
    <w:rsid w:val="00B97FA2"/>
    <w:rsid w:val="00BA0F70"/>
    <w:rsid w:val="00BA151E"/>
    <w:rsid w:val="00BA3D3E"/>
    <w:rsid w:val="00BA50E3"/>
    <w:rsid w:val="00BA5A6A"/>
    <w:rsid w:val="00BB1C74"/>
    <w:rsid w:val="00BB1F33"/>
    <w:rsid w:val="00BB389C"/>
    <w:rsid w:val="00BB3BB0"/>
    <w:rsid w:val="00BB4882"/>
    <w:rsid w:val="00BB4CE3"/>
    <w:rsid w:val="00BB64C1"/>
    <w:rsid w:val="00BC1469"/>
    <w:rsid w:val="00BC1B2D"/>
    <w:rsid w:val="00BC27C7"/>
    <w:rsid w:val="00BC2A93"/>
    <w:rsid w:val="00BC3448"/>
    <w:rsid w:val="00BC4142"/>
    <w:rsid w:val="00BC46E0"/>
    <w:rsid w:val="00BC68B2"/>
    <w:rsid w:val="00BC6AE5"/>
    <w:rsid w:val="00BC6CBD"/>
    <w:rsid w:val="00BC7403"/>
    <w:rsid w:val="00BC7BC0"/>
    <w:rsid w:val="00BD0F04"/>
    <w:rsid w:val="00BD2B43"/>
    <w:rsid w:val="00BD38BC"/>
    <w:rsid w:val="00BD3A87"/>
    <w:rsid w:val="00BD48B4"/>
    <w:rsid w:val="00BD4AF9"/>
    <w:rsid w:val="00BE150A"/>
    <w:rsid w:val="00BE1F2C"/>
    <w:rsid w:val="00BE4FF7"/>
    <w:rsid w:val="00BE6306"/>
    <w:rsid w:val="00BE7EF8"/>
    <w:rsid w:val="00BF0D6B"/>
    <w:rsid w:val="00BF1E18"/>
    <w:rsid w:val="00BF24D2"/>
    <w:rsid w:val="00BF47FD"/>
    <w:rsid w:val="00BF63BF"/>
    <w:rsid w:val="00BF6730"/>
    <w:rsid w:val="00BF7198"/>
    <w:rsid w:val="00C01D45"/>
    <w:rsid w:val="00C029A6"/>
    <w:rsid w:val="00C050B4"/>
    <w:rsid w:val="00C07BE0"/>
    <w:rsid w:val="00C07CC7"/>
    <w:rsid w:val="00C10A23"/>
    <w:rsid w:val="00C11607"/>
    <w:rsid w:val="00C11A62"/>
    <w:rsid w:val="00C11E3D"/>
    <w:rsid w:val="00C123DA"/>
    <w:rsid w:val="00C141F6"/>
    <w:rsid w:val="00C14D98"/>
    <w:rsid w:val="00C14DDC"/>
    <w:rsid w:val="00C15F4B"/>
    <w:rsid w:val="00C17EC4"/>
    <w:rsid w:val="00C20BF5"/>
    <w:rsid w:val="00C20E13"/>
    <w:rsid w:val="00C213D6"/>
    <w:rsid w:val="00C2168B"/>
    <w:rsid w:val="00C21EBA"/>
    <w:rsid w:val="00C23C87"/>
    <w:rsid w:val="00C30EEB"/>
    <w:rsid w:val="00C31CE5"/>
    <w:rsid w:val="00C36471"/>
    <w:rsid w:val="00C406DE"/>
    <w:rsid w:val="00C42CA5"/>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CED"/>
    <w:rsid w:val="00C61198"/>
    <w:rsid w:val="00C61331"/>
    <w:rsid w:val="00C625F0"/>
    <w:rsid w:val="00C64D9C"/>
    <w:rsid w:val="00C64E9D"/>
    <w:rsid w:val="00C64EBD"/>
    <w:rsid w:val="00C65A9C"/>
    <w:rsid w:val="00C66F60"/>
    <w:rsid w:val="00C66F93"/>
    <w:rsid w:val="00C677CD"/>
    <w:rsid w:val="00C704DD"/>
    <w:rsid w:val="00C71814"/>
    <w:rsid w:val="00C726F8"/>
    <w:rsid w:val="00C72D8E"/>
    <w:rsid w:val="00C77E6D"/>
    <w:rsid w:val="00C77EE5"/>
    <w:rsid w:val="00C80F60"/>
    <w:rsid w:val="00C8121D"/>
    <w:rsid w:val="00C815BD"/>
    <w:rsid w:val="00C81CAB"/>
    <w:rsid w:val="00C81EA3"/>
    <w:rsid w:val="00C82303"/>
    <w:rsid w:val="00C838BF"/>
    <w:rsid w:val="00C84723"/>
    <w:rsid w:val="00C854F3"/>
    <w:rsid w:val="00C85AAF"/>
    <w:rsid w:val="00C86385"/>
    <w:rsid w:val="00C86DF6"/>
    <w:rsid w:val="00C8766F"/>
    <w:rsid w:val="00C879F8"/>
    <w:rsid w:val="00C9064A"/>
    <w:rsid w:val="00C91224"/>
    <w:rsid w:val="00C92FF6"/>
    <w:rsid w:val="00C943EC"/>
    <w:rsid w:val="00C946E2"/>
    <w:rsid w:val="00C94E0D"/>
    <w:rsid w:val="00C965FF"/>
    <w:rsid w:val="00C96B21"/>
    <w:rsid w:val="00C97135"/>
    <w:rsid w:val="00CA0039"/>
    <w:rsid w:val="00CA0632"/>
    <w:rsid w:val="00CA06E3"/>
    <w:rsid w:val="00CA0CD5"/>
    <w:rsid w:val="00CA2E3F"/>
    <w:rsid w:val="00CA443B"/>
    <w:rsid w:val="00CA68BF"/>
    <w:rsid w:val="00CA70EB"/>
    <w:rsid w:val="00CA7C46"/>
    <w:rsid w:val="00CB0C05"/>
    <w:rsid w:val="00CB0C41"/>
    <w:rsid w:val="00CB1537"/>
    <w:rsid w:val="00CB3AB3"/>
    <w:rsid w:val="00CB5B07"/>
    <w:rsid w:val="00CC2392"/>
    <w:rsid w:val="00CC32EA"/>
    <w:rsid w:val="00CC49AB"/>
    <w:rsid w:val="00CC5A9C"/>
    <w:rsid w:val="00CC7C1E"/>
    <w:rsid w:val="00CD02D7"/>
    <w:rsid w:val="00CD0E74"/>
    <w:rsid w:val="00CD1797"/>
    <w:rsid w:val="00CD39A0"/>
    <w:rsid w:val="00CD7AA5"/>
    <w:rsid w:val="00CE2CDE"/>
    <w:rsid w:val="00CE3EC3"/>
    <w:rsid w:val="00CE4159"/>
    <w:rsid w:val="00CE518F"/>
    <w:rsid w:val="00CE549F"/>
    <w:rsid w:val="00CE608D"/>
    <w:rsid w:val="00CE6363"/>
    <w:rsid w:val="00CE670A"/>
    <w:rsid w:val="00CE7107"/>
    <w:rsid w:val="00CE72B3"/>
    <w:rsid w:val="00CF1597"/>
    <w:rsid w:val="00CF1A1E"/>
    <w:rsid w:val="00CF2B5A"/>
    <w:rsid w:val="00CF423B"/>
    <w:rsid w:val="00CF42DA"/>
    <w:rsid w:val="00CF6FD1"/>
    <w:rsid w:val="00CF7B94"/>
    <w:rsid w:val="00CF7FF2"/>
    <w:rsid w:val="00D0303B"/>
    <w:rsid w:val="00D0377B"/>
    <w:rsid w:val="00D046D9"/>
    <w:rsid w:val="00D04C57"/>
    <w:rsid w:val="00D05E98"/>
    <w:rsid w:val="00D06B24"/>
    <w:rsid w:val="00D114C6"/>
    <w:rsid w:val="00D12668"/>
    <w:rsid w:val="00D127EB"/>
    <w:rsid w:val="00D1503D"/>
    <w:rsid w:val="00D1648F"/>
    <w:rsid w:val="00D17328"/>
    <w:rsid w:val="00D17354"/>
    <w:rsid w:val="00D17916"/>
    <w:rsid w:val="00D17AD5"/>
    <w:rsid w:val="00D17D79"/>
    <w:rsid w:val="00D21671"/>
    <w:rsid w:val="00D230CD"/>
    <w:rsid w:val="00D23E62"/>
    <w:rsid w:val="00D27823"/>
    <w:rsid w:val="00D27B18"/>
    <w:rsid w:val="00D27D8F"/>
    <w:rsid w:val="00D30CA4"/>
    <w:rsid w:val="00D3110A"/>
    <w:rsid w:val="00D31DD9"/>
    <w:rsid w:val="00D32DF8"/>
    <w:rsid w:val="00D32F6E"/>
    <w:rsid w:val="00D33564"/>
    <w:rsid w:val="00D361C6"/>
    <w:rsid w:val="00D3681B"/>
    <w:rsid w:val="00D371C5"/>
    <w:rsid w:val="00D37296"/>
    <w:rsid w:val="00D372E5"/>
    <w:rsid w:val="00D374A9"/>
    <w:rsid w:val="00D37FC6"/>
    <w:rsid w:val="00D43B86"/>
    <w:rsid w:val="00D43F5D"/>
    <w:rsid w:val="00D47D96"/>
    <w:rsid w:val="00D503F5"/>
    <w:rsid w:val="00D50A90"/>
    <w:rsid w:val="00D50D91"/>
    <w:rsid w:val="00D5168C"/>
    <w:rsid w:val="00D53950"/>
    <w:rsid w:val="00D571E0"/>
    <w:rsid w:val="00D6155B"/>
    <w:rsid w:val="00D615DE"/>
    <w:rsid w:val="00D617D1"/>
    <w:rsid w:val="00D651A1"/>
    <w:rsid w:val="00D659DC"/>
    <w:rsid w:val="00D65C75"/>
    <w:rsid w:val="00D67750"/>
    <w:rsid w:val="00D67940"/>
    <w:rsid w:val="00D67D29"/>
    <w:rsid w:val="00D702C8"/>
    <w:rsid w:val="00D70735"/>
    <w:rsid w:val="00D70CA8"/>
    <w:rsid w:val="00D71CED"/>
    <w:rsid w:val="00D72862"/>
    <w:rsid w:val="00D75967"/>
    <w:rsid w:val="00D80BE2"/>
    <w:rsid w:val="00D81138"/>
    <w:rsid w:val="00D8166F"/>
    <w:rsid w:val="00D81B2F"/>
    <w:rsid w:val="00D81F5A"/>
    <w:rsid w:val="00D82121"/>
    <w:rsid w:val="00D835DF"/>
    <w:rsid w:val="00D83E95"/>
    <w:rsid w:val="00D84257"/>
    <w:rsid w:val="00D84302"/>
    <w:rsid w:val="00D84817"/>
    <w:rsid w:val="00D84891"/>
    <w:rsid w:val="00D8571A"/>
    <w:rsid w:val="00D86436"/>
    <w:rsid w:val="00D87514"/>
    <w:rsid w:val="00D90B00"/>
    <w:rsid w:val="00D9197D"/>
    <w:rsid w:val="00D91AA7"/>
    <w:rsid w:val="00D930C7"/>
    <w:rsid w:val="00D932B2"/>
    <w:rsid w:val="00D9441E"/>
    <w:rsid w:val="00D94666"/>
    <w:rsid w:val="00D94958"/>
    <w:rsid w:val="00D94A33"/>
    <w:rsid w:val="00D963AE"/>
    <w:rsid w:val="00D965C6"/>
    <w:rsid w:val="00D96D1E"/>
    <w:rsid w:val="00DA125F"/>
    <w:rsid w:val="00DA1B2E"/>
    <w:rsid w:val="00DA2BE7"/>
    <w:rsid w:val="00DA2D2F"/>
    <w:rsid w:val="00DA4133"/>
    <w:rsid w:val="00DA50FB"/>
    <w:rsid w:val="00DA5A41"/>
    <w:rsid w:val="00DA5DDF"/>
    <w:rsid w:val="00DA6BCA"/>
    <w:rsid w:val="00DB0CDD"/>
    <w:rsid w:val="00DB33E4"/>
    <w:rsid w:val="00DB3B69"/>
    <w:rsid w:val="00DB70E3"/>
    <w:rsid w:val="00DB799D"/>
    <w:rsid w:val="00DB7CF4"/>
    <w:rsid w:val="00DC0944"/>
    <w:rsid w:val="00DC1469"/>
    <w:rsid w:val="00DC1A78"/>
    <w:rsid w:val="00DC262F"/>
    <w:rsid w:val="00DC3A49"/>
    <w:rsid w:val="00DD14A3"/>
    <w:rsid w:val="00DD3A79"/>
    <w:rsid w:val="00DD52A1"/>
    <w:rsid w:val="00DD5B18"/>
    <w:rsid w:val="00DD5EC4"/>
    <w:rsid w:val="00DD62B4"/>
    <w:rsid w:val="00DD6B10"/>
    <w:rsid w:val="00DE4E45"/>
    <w:rsid w:val="00DE50D8"/>
    <w:rsid w:val="00DE612D"/>
    <w:rsid w:val="00DE6EF6"/>
    <w:rsid w:val="00DE72A4"/>
    <w:rsid w:val="00DE7563"/>
    <w:rsid w:val="00DE7AD1"/>
    <w:rsid w:val="00DF036C"/>
    <w:rsid w:val="00DF050D"/>
    <w:rsid w:val="00DF10FD"/>
    <w:rsid w:val="00DF1174"/>
    <w:rsid w:val="00DF3A43"/>
    <w:rsid w:val="00DF4A71"/>
    <w:rsid w:val="00DF5294"/>
    <w:rsid w:val="00DF606B"/>
    <w:rsid w:val="00DF72D2"/>
    <w:rsid w:val="00DF7E59"/>
    <w:rsid w:val="00E01235"/>
    <w:rsid w:val="00E0148B"/>
    <w:rsid w:val="00E014D3"/>
    <w:rsid w:val="00E01CBB"/>
    <w:rsid w:val="00E02C82"/>
    <w:rsid w:val="00E0357D"/>
    <w:rsid w:val="00E0359B"/>
    <w:rsid w:val="00E05FDA"/>
    <w:rsid w:val="00E11A42"/>
    <w:rsid w:val="00E1273E"/>
    <w:rsid w:val="00E130AB"/>
    <w:rsid w:val="00E13C9D"/>
    <w:rsid w:val="00E155CC"/>
    <w:rsid w:val="00E16AF5"/>
    <w:rsid w:val="00E17204"/>
    <w:rsid w:val="00E17DB2"/>
    <w:rsid w:val="00E20566"/>
    <w:rsid w:val="00E209CA"/>
    <w:rsid w:val="00E20B16"/>
    <w:rsid w:val="00E219E0"/>
    <w:rsid w:val="00E22286"/>
    <w:rsid w:val="00E22E30"/>
    <w:rsid w:val="00E24681"/>
    <w:rsid w:val="00E248D6"/>
    <w:rsid w:val="00E25C0A"/>
    <w:rsid w:val="00E27212"/>
    <w:rsid w:val="00E32614"/>
    <w:rsid w:val="00E40435"/>
    <w:rsid w:val="00E43D47"/>
    <w:rsid w:val="00E447D2"/>
    <w:rsid w:val="00E4573A"/>
    <w:rsid w:val="00E46275"/>
    <w:rsid w:val="00E47788"/>
    <w:rsid w:val="00E50DC9"/>
    <w:rsid w:val="00E51F64"/>
    <w:rsid w:val="00E524D4"/>
    <w:rsid w:val="00E541D8"/>
    <w:rsid w:val="00E572DB"/>
    <w:rsid w:val="00E613F4"/>
    <w:rsid w:val="00E619D0"/>
    <w:rsid w:val="00E61E0C"/>
    <w:rsid w:val="00E62DE4"/>
    <w:rsid w:val="00E63E15"/>
    <w:rsid w:val="00E65241"/>
    <w:rsid w:val="00E701F5"/>
    <w:rsid w:val="00E70675"/>
    <w:rsid w:val="00E70997"/>
    <w:rsid w:val="00E71768"/>
    <w:rsid w:val="00E71F2C"/>
    <w:rsid w:val="00E7300E"/>
    <w:rsid w:val="00E74DBF"/>
    <w:rsid w:val="00E75064"/>
    <w:rsid w:val="00E76566"/>
    <w:rsid w:val="00E779D1"/>
    <w:rsid w:val="00E80F46"/>
    <w:rsid w:val="00E852AD"/>
    <w:rsid w:val="00E85933"/>
    <w:rsid w:val="00E86518"/>
    <w:rsid w:val="00E87178"/>
    <w:rsid w:val="00E877CA"/>
    <w:rsid w:val="00E91B9F"/>
    <w:rsid w:val="00E92E0A"/>
    <w:rsid w:val="00E93119"/>
    <w:rsid w:val="00E948B0"/>
    <w:rsid w:val="00E94A1A"/>
    <w:rsid w:val="00E955FF"/>
    <w:rsid w:val="00E9626D"/>
    <w:rsid w:val="00EA20D3"/>
    <w:rsid w:val="00EA2BF3"/>
    <w:rsid w:val="00EA31CB"/>
    <w:rsid w:val="00EA34C5"/>
    <w:rsid w:val="00EA4A6F"/>
    <w:rsid w:val="00EA6AC2"/>
    <w:rsid w:val="00EA7A7E"/>
    <w:rsid w:val="00EB082D"/>
    <w:rsid w:val="00EB1BC0"/>
    <w:rsid w:val="00EB274D"/>
    <w:rsid w:val="00EB2C19"/>
    <w:rsid w:val="00EB37BB"/>
    <w:rsid w:val="00EB4648"/>
    <w:rsid w:val="00EB4A2C"/>
    <w:rsid w:val="00EB7827"/>
    <w:rsid w:val="00EC057B"/>
    <w:rsid w:val="00EC1C0A"/>
    <w:rsid w:val="00EC2899"/>
    <w:rsid w:val="00EC2CC3"/>
    <w:rsid w:val="00EC394C"/>
    <w:rsid w:val="00EC3ABC"/>
    <w:rsid w:val="00EC760A"/>
    <w:rsid w:val="00ED12F6"/>
    <w:rsid w:val="00ED24E0"/>
    <w:rsid w:val="00ED2C2A"/>
    <w:rsid w:val="00ED437D"/>
    <w:rsid w:val="00ED49C3"/>
    <w:rsid w:val="00ED578F"/>
    <w:rsid w:val="00ED5BF7"/>
    <w:rsid w:val="00ED5E18"/>
    <w:rsid w:val="00ED659F"/>
    <w:rsid w:val="00EE02FA"/>
    <w:rsid w:val="00EE2F2E"/>
    <w:rsid w:val="00EE3CFA"/>
    <w:rsid w:val="00EE5A36"/>
    <w:rsid w:val="00EE5F54"/>
    <w:rsid w:val="00EE6A07"/>
    <w:rsid w:val="00EF1915"/>
    <w:rsid w:val="00EF1970"/>
    <w:rsid w:val="00EF4174"/>
    <w:rsid w:val="00EF5178"/>
    <w:rsid w:val="00EF5A68"/>
    <w:rsid w:val="00EF6218"/>
    <w:rsid w:val="00EF6271"/>
    <w:rsid w:val="00EF7B42"/>
    <w:rsid w:val="00EF7C1E"/>
    <w:rsid w:val="00F0018A"/>
    <w:rsid w:val="00F001FF"/>
    <w:rsid w:val="00F00AF4"/>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27006"/>
    <w:rsid w:val="00F3041E"/>
    <w:rsid w:val="00F34629"/>
    <w:rsid w:val="00F34CFF"/>
    <w:rsid w:val="00F36A87"/>
    <w:rsid w:val="00F36FD5"/>
    <w:rsid w:val="00F420FE"/>
    <w:rsid w:val="00F422FC"/>
    <w:rsid w:val="00F4234F"/>
    <w:rsid w:val="00F42BAB"/>
    <w:rsid w:val="00F43EAD"/>
    <w:rsid w:val="00F463A6"/>
    <w:rsid w:val="00F46B13"/>
    <w:rsid w:val="00F51826"/>
    <w:rsid w:val="00F52E53"/>
    <w:rsid w:val="00F54719"/>
    <w:rsid w:val="00F55122"/>
    <w:rsid w:val="00F5645C"/>
    <w:rsid w:val="00F56A8E"/>
    <w:rsid w:val="00F57F73"/>
    <w:rsid w:val="00F60206"/>
    <w:rsid w:val="00F608ED"/>
    <w:rsid w:val="00F64E0A"/>
    <w:rsid w:val="00F65AF6"/>
    <w:rsid w:val="00F6607E"/>
    <w:rsid w:val="00F66460"/>
    <w:rsid w:val="00F70341"/>
    <w:rsid w:val="00F70C51"/>
    <w:rsid w:val="00F7375D"/>
    <w:rsid w:val="00F74217"/>
    <w:rsid w:val="00F75021"/>
    <w:rsid w:val="00F77922"/>
    <w:rsid w:val="00F80F33"/>
    <w:rsid w:val="00F8207B"/>
    <w:rsid w:val="00F822FE"/>
    <w:rsid w:val="00F827A9"/>
    <w:rsid w:val="00F82E33"/>
    <w:rsid w:val="00F8407E"/>
    <w:rsid w:val="00F841F9"/>
    <w:rsid w:val="00F849B9"/>
    <w:rsid w:val="00F91D9B"/>
    <w:rsid w:val="00F9212B"/>
    <w:rsid w:val="00F9419C"/>
    <w:rsid w:val="00F96765"/>
    <w:rsid w:val="00F974A2"/>
    <w:rsid w:val="00F97816"/>
    <w:rsid w:val="00F97B2B"/>
    <w:rsid w:val="00FA0099"/>
    <w:rsid w:val="00FA164C"/>
    <w:rsid w:val="00FA18EB"/>
    <w:rsid w:val="00FA1990"/>
    <w:rsid w:val="00FA1DAA"/>
    <w:rsid w:val="00FA33F1"/>
    <w:rsid w:val="00FA38C8"/>
    <w:rsid w:val="00FA5041"/>
    <w:rsid w:val="00FA5276"/>
    <w:rsid w:val="00FB20D4"/>
    <w:rsid w:val="00FB5B79"/>
    <w:rsid w:val="00FB73D4"/>
    <w:rsid w:val="00FB79DF"/>
    <w:rsid w:val="00FC130B"/>
    <w:rsid w:val="00FC1D77"/>
    <w:rsid w:val="00FC2F7A"/>
    <w:rsid w:val="00FC3757"/>
    <w:rsid w:val="00FC4D20"/>
    <w:rsid w:val="00FC5038"/>
    <w:rsid w:val="00FC5505"/>
    <w:rsid w:val="00FC5C7D"/>
    <w:rsid w:val="00FC5D14"/>
    <w:rsid w:val="00FC6376"/>
    <w:rsid w:val="00FD0D36"/>
    <w:rsid w:val="00FD0E08"/>
    <w:rsid w:val="00FD0FCA"/>
    <w:rsid w:val="00FD75DE"/>
    <w:rsid w:val="00FE0002"/>
    <w:rsid w:val="00FE07F3"/>
    <w:rsid w:val="00FE17BF"/>
    <w:rsid w:val="00FE2769"/>
    <w:rsid w:val="00FE5203"/>
    <w:rsid w:val="00FE6628"/>
    <w:rsid w:val="00FE66ED"/>
    <w:rsid w:val="00FE704B"/>
    <w:rsid w:val="00FE76E1"/>
    <w:rsid w:val="00FF0D36"/>
    <w:rsid w:val="00FF0F88"/>
    <w:rsid w:val="00FF342E"/>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4F736"/>
  <w15:docId w15:val="{C92B2741-0ACC-4BC4-A164-2FD48BB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5CDC-4818-431A-9011-ABEE71CC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McLean El (Elaine)</cp:lastModifiedBy>
  <cp:revision>3</cp:revision>
  <cp:lastPrinted>2018-12-18T11:59:00Z</cp:lastPrinted>
  <dcterms:created xsi:type="dcterms:W3CDTF">2019-02-25T13:59:00Z</dcterms:created>
  <dcterms:modified xsi:type="dcterms:W3CDTF">2019-02-25T14:05:00Z</dcterms:modified>
</cp:coreProperties>
</file>